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ascii="宋体" w:hAnsi="宋体" w:cs="宋体" w:eastAsiaTheme="minorEastAsia"/>
          <w:b/>
          <w:sz w:val="36"/>
          <w:szCs w:val="36"/>
          <w:highlight w:val="none"/>
          <w:lang w:eastAsia="zh-CN"/>
        </w:rPr>
      </w:pPr>
      <w:bookmarkStart w:id="0" w:name="_GoBack"/>
      <w:bookmarkEnd w:id="0"/>
      <w:r>
        <w:rPr>
          <w:rFonts w:hint="eastAsia" w:ascii="宋体" w:hAnsi="宋体" w:cs="宋体"/>
          <w:b/>
          <w:sz w:val="36"/>
          <w:szCs w:val="36"/>
          <w:highlight w:val="none"/>
          <w:lang w:eastAsia="zh-CN"/>
        </w:rPr>
        <w:t>评分办法</w:t>
      </w:r>
    </w:p>
    <w:tbl>
      <w:tblPr>
        <w:tblStyle w:val="10"/>
        <w:tblW w:w="995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1392"/>
        <w:gridCol w:w="6760"/>
        <w:gridCol w:w="82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979" w:type="dxa"/>
            <w:noWrap w:val="0"/>
            <w:vAlign w:val="center"/>
          </w:tcPr>
          <w:p>
            <w:pPr>
              <w:adjustRightIn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392" w:type="dxa"/>
            <w:noWrap w:val="0"/>
            <w:vAlign w:val="center"/>
          </w:tcPr>
          <w:p>
            <w:pPr>
              <w:adjustRightIn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评审因素</w:t>
            </w:r>
          </w:p>
        </w:tc>
        <w:tc>
          <w:tcPr>
            <w:tcW w:w="6760" w:type="dxa"/>
            <w:noWrap w:val="0"/>
            <w:vAlign w:val="center"/>
          </w:tcPr>
          <w:p>
            <w:pPr>
              <w:adjustRightIn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评分标准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</w:p>
        </w:tc>
        <w:tc>
          <w:tcPr>
            <w:tcW w:w="823" w:type="dxa"/>
            <w:noWrap w:val="0"/>
            <w:vAlign w:val="center"/>
          </w:tcPr>
          <w:p>
            <w:pPr>
              <w:adjustRightIn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分值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54" w:type="dxa"/>
            <w:gridSpan w:val="4"/>
            <w:noWrap w:val="0"/>
            <w:vAlign w:val="center"/>
          </w:tcPr>
          <w:p>
            <w:pPr>
              <w:adjustRightInd w:val="0"/>
              <w:spacing w:line="240" w:lineRule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价格评分（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分）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  <w:jc w:val="center"/>
        </w:trPr>
        <w:tc>
          <w:tcPr>
            <w:tcW w:w="979" w:type="dxa"/>
            <w:noWrap w:val="0"/>
            <w:vAlign w:val="center"/>
          </w:tcPr>
          <w:p>
            <w:pPr>
              <w:adjustRightIn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92" w:type="dxa"/>
            <w:noWrap w:val="0"/>
            <w:vAlign w:val="center"/>
          </w:tcPr>
          <w:p>
            <w:pPr>
              <w:pStyle w:val="19"/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价格评分</w:t>
            </w:r>
          </w:p>
          <w:p>
            <w:pPr>
              <w:pStyle w:val="19"/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（20分）</w:t>
            </w:r>
          </w:p>
        </w:tc>
        <w:tc>
          <w:tcPr>
            <w:tcW w:w="6760" w:type="dxa"/>
            <w:noWrap w:val="0"/>
            <w:vAlign w:val="center"/>
          </w:tcPr>
          <w:p>
            <w:pPr>
              <w:pStyle w:val="19"/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以所有参与服务商的有效报价的最低价为评标基准价。投标人的报价分统一按下列公式计算: 投标报价得分=(评标基准价/投标报价) ×价格权值20%×100(四舍五入后保留小数点后两位)</w:t>
            </w:r>
          </w:p>
        </w:tc>
        <w:tc>
          <w:tcPr>
            <w:tcW w:w="823" w:type="dxa"/>
            <w:noWrap w:val="0"/>
            <w:vAlign w:val="center"/>
          </w:tcPr>
          <w:p>
            <w:pPr>
              <w:adjustRightIn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20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bidi="ar-SA"/>
              </w:rPr>
              <w:t>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9954" w:type="dxa"/>
            <w:gridSpan w:val="4"/>
            <w:noWrap w:val="0"/>
            <w:vAlign w:val="center"/>
          </w:tcPr>
          <w:p>
            <w:pPr>
              <w:adjustRightInd w:val="0"/>
              <w:spacing w:line="24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技术服务评分（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74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分）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  <w:jc w:val="center"/>
        </w:trPr>
        <w:tc>
          <w:tcPr>
            <w:tcW w:w="979" w:type="dxa"/>
            <w:noWrap w:val="0"/>
            <w:vAlign w:val="center"/>
          </w:tcPr>
          <w:p>
            <w:pPr>
              <w:adjustRightIn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92" w:type="dxa"/>
            <w:noWrap w:val="0"/>
            <w:vAlign w:val="center"/>
          </w:tcPr>
          <w:p>
            <w:pPr>
              <w:adjustRightIn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运维实施方案</w:t>
            </w:r>
          </w:p>
          <w:p>
            <w:pPr>
              <w:adjustRightIn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（15分）</w:t>
            </w:r>
          </w:p>
        </w:tc>
        <w:tc>
          <w:tcPr>
            <w:tcW w:w="6760" w:type="dxa"/>
            <w:noWrap w:val="0"/>
            <w:vAlign w:val="center"/>
          </w:tcPr>
          <w:p>
            <w:pPr>
              <w:pStyle w:val="19"/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供应商针对本项目需求的理解，提供运维实施方案，内容包含但不限于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以下方面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：①日常管理方案；②设施设备维护管理方案；③岗位责任制度等。</w:t>
            </w:r>
          </w:p>
          <w:p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上述小项方案具有针对性和可行性、清晰明确、内容全面合理、满足采购人实际需求的每项得5分。</w:t>
            </w:r>
          </w:p>
          <w:p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存在一般缺陷的小项方案得3分（一般缺陷是指方案内容前后不一致、前后逻辑错误、内容有缺失，不影响项目的实施）。</w:t>
            </w:r>
          </w:p>
          <w:p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未提供或存在重大缺陷的小项方案不得分（重大缺陷是指方案凭空编造、套用其他方案、与采购项目和采购需求无关，无法指导项目实施）。</w:t>
            </w:r>
          </w:p>
        </w:tc>
        <w:tc>
          <w:tcPr>
            <w:tcW w:w="823" w:type="dxa"/>
            <w:noWrap w:val="0"/>
            <w:vAlign w:val="center"/>
          </w:tcPr>
          <w:p>
            <w:pPr>
              <w:adjustRightIn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  <w:t>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  <w:jc w:val="center"/>
        </w:trPr>
        <w:tc>
          <w:tcPr>
            <w:tcW w:w="979" w:type="dxa"/>
            <w:noWrap w:val="0"/>
            <w:vAlign w:val="center"/>
          </w:tcPr>
          <w:p>
            <w:pPr>
              <w:adjustRightIn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3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 w:eastAsia="zh-CN"/>
              </w:rPr>
              <w:t>质量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及保证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 w:eastAsia="zh-CN"/>
              </w:rPr>
              <w:t>措施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（15分）</w:t>
            </w:r>
          </w:p>
        </w:tc>
        <w:tc>
          <w:tcPr>
            <w:tcW w:w="67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供应商针对于本项目制定相应的服务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 w:eastAsia="zh-CN"/>
              </w:rPr>
              <w:t>质量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及保证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 w:eastAsia="zh-CN"/>
              </w:rPr>
              <w:t>措施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，包含但不限于以下方面：①服务质量控制内容；②服务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 w:eastAsia="zh-CN"/>
              </w:rPr>
              <w:t>质量控制方法；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③服务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 w:eastAsia="zh-CN"/>
              </w:rPr>
              <w:t>质量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保证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 w:eastAsia="zh-CN"/>
              </w:rPr>
              <w:t>措施。</w:t>
            </w:r>
          </w:p>
          <w:p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上述小项方案具有针对性和可行性、清晰明确、内容全面合理、满足采购人实际需求的每项得5分。</w:t>
            </w:r>
          </w:p>
          <w:p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存在一般缺陷的小项方案得2.5分（一般缺陷是指方案内容前后不一致、前后逻辑错误、内容有缺失，不影响项目的实施）。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未提供或存在重大缺陷的小项方案不得分（重大缺陷是指方案凭空编造、套用其他方案、与采购项目和采购需求无关，无法指导项目实施）。</w:t>
            </w:r>
          </w:p>
        </w:tc>
        <w:tc>
          <w:tcPr>
            <w:tcW w:w="823" w:type="dxa"/>
            <w:noWrap w:val="0"/>
            <w:vAlign w:val="center"/>
          </w:tcPr>
          <w:p>
            <w:pPr>
              <w:adjustRightIn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15分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979" w:type="dxa"/>
            <w:noWrap w:val="0"/>
            <w:vAlign w:val="center"/>
          </w:tcPr>
          <w:p>
            <w:pPr>
              <w:adjustRightIn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3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安全管理体系与措施</w:t>
            </w:r>
          </w:p>
          <w:p>
            <w:pPr>
              <w:adjustRightIn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6分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6760" w:type="dxa"/>
            <w:noWrap w:val="0"/>
            <w:vAlign w:val="center"/>
          </w:tcPr>
          <w:p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供应商针对本项目需求的理解，提供安全管理体系与措施；</w:t>
            </w:r>
          </w:p>
          <w:p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但不限于以下方面：①安全管理体系；②设备的安全管理措施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 w:eastAsia="zh-CN"/>
              </w:rPr>
              <w:t>。</w:t>
            </w:r>
          </w:p>
          <w:p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上述小项方案具有针对性和可行性、清晰明确、内容全面合理、满足采购人实际需求的每项得</w:t>
            </w: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分。</w:t>
            </w:r>
          </w:p>
          <w:p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存在一般缺陷的小项方案得</w:t>
            </w: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分（一般缺陷是指方案内容前后不一致、前后逻辑错误、内容有缺失，不影响项目的实施）。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未提供或存在重大缺陷的小项方案不得分（重大缺陷是指方案凭空编造、套用其他方案、与采购项目和采购需求无关，无法指导项目实施）。</w:t>
            </w:r>
          </w:p>
        </w:tc>
        <w:tc>
          <w:tcPr>
            <w:tcW w:w="823" w:type="dxa"/>
            <w:noWrap w:val="0"/>
            <w:vAlign w:val="center"/>
          </w:tcPr>
          <w:p>
            <w:pPr>
              <w:adjustRightIn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6分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979" w:type="dxa"/>
            <w:noWrap w:val="0"/>
            <w:vAlign w:val="center"/>
          </w:tcPr>
          <w:p>
            <w:pPr>
              <w:adjustRightIn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392" w:type="dxa"/>
            <w:noWrap w:val="0"/>
            <w:vAlign w:val="center"/>
          </w:tcPr>
          <w:p>
            <w:pPr>
              <w:adjustRightIn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现场协调方案</w:t>
            </w:r>
          </w:p>
          <w:p>
            <w:pPr>
              <w:adjustRightIn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6760" w:type="dxa"/>
            <w:noWrap w:val="0"/>
            <w:vAlign w:val="center"/>
          </w:tcPr>
          <w:p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供应商针对本项目需求的理解，提供现场协调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方案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；</w:t>
            </w:r>
          </w:p>
          <w:p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但不限于以下方面：①日常运维协调方案；②特殊场景的应急调度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 w:eastAsia="zh-CN"/>
              </w:rPr>
              <w:t>。</w:t>
            </w:r>
          </w:p>
          <w:p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上述小项方案具有针对性和可行性、清晰明确、内容全面合理、满足采购人实际需求的每项得</w:t>
            </w: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分。</w:t>
            </w:r>
          </w:p>
          <w:p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存在一般缺陷的小项方案得</w:t>
            </w: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分（一般缺陷是指方案内容前后不一致、前后逻辑错误、内容有缺失，不影响项目的实施）。</w:t>
            </w:r>
          </w:p>
          <w:p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未提供或存在重大缺陷的小项方案不得分（重大缺陷是指方案凭空编造、套用其他方案、与采购项目和采购需求无关，无法指导项目实施）。</w:t>
            </w:r>
          </w:p>
        </w:tc>
        <w:tc>
          <w:tcPr>
            <w:tcW w:w="823" w:type="dxa"/>
            <w:noWrap w:val="0"/>
            <w:vAlign w:val="center"/>
          </w:tcPr>
          <w:p>
            <w:pPr>
              <w:adjustRightIn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8分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979" w:type="dxa"/>
            <w:noWrap w:val="0"/>
            <w:vAlign w:val="center"/>
          </w:tcPr>
          <w:p>
            <w:pPr>
              <w:adjustRightIn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392" w:type="dxa"/>
            <w:noWrap w:val="0"/>
            <w:vAlign w:val="center"/>
          </w:tcPr>
          <w:p>
            <w:pPr>
              <w:adjustRightIn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突发事件应急处理方案</w:t>
            </w:r>
          </w:p>
          <w:p>
            <w:pPr>
              <w:adjustRightIn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30分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6760" w:type="dxa"/>
            <w:noWrap w:val="0"/>
            <w:vAlign w:val="center"/>
          </w:tcPr>
          <w:p>
            <w:pPr>
              <w:pStyle w:val="19"/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供应商针对本项目需求的理解，提供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突发事件应急处理方案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，内容包含但不限于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以下方面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：①编制依据及应急预案体系；②项目及环境污染危险源基本情况；③环境风险源及环境风险评价；④组织机构与职责；⑤突发事件预防与预警；⑥信息报告与通报；⑦应急响应和救援措施；⑧应急监测及应急终止；⑨善后处理；⑩应急培训和演练方案等。</w:t>
            </w:r>
          </w:p>
          <w:p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上述小项方案具有针对性和可行性、清晰明确、内容全面合理、满足采购人实际需求的每项得</w:t>
            </w: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分。</w:t>
            </w:r>
          </w:p>
          <w:p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存在一般缺陷的小项方案得</w:t>
            </w: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分（一般缺陷是指方案内容前后不一致、前后逻辑错误、内容有缺失，不影响项目的实施）。</w:t>
            </w:r>
          </w:p>
          <w:p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未提供或存在重大缺陷的小项方案不得分（重大缺陷是指方案凭空编造、套用其他方案、与采购项目和采购需求无关，无法指导项目实施）。</w:t>
            </w:r>
          </w:p>
        </w:tc>
        <w:tc>
          <w:tcPr>
            <w:tcW w:w="823" w:type="dxa"/>
            <w:noWrap w:val="0"/>
            <w:vAlign w:val="center"/>
          </w:tcPr>
          <w:p>
            <w:pPr>
              <w:adjustRightIn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30分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9954" w:type="dxa"/>
            <w:gridSpan w:val="4"/>
            <w:noWrap w:val="0"/>
            <w:vAlign w:val="center"/>
          </w:tcPr>
          <w:p>
            <w:pPr>
              <w:adjustRightInd w:val="0"/>
              <w:spacing w:line="24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商务评分（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分）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  <w:jc w:val="center"/>
        </w:trPr>
        <w:tc>
          <w:tcPr>
            <w:tcW w:w="979" w:type="dxa"/>
            <w:noWrap w:val="0"/>
            <w:vAlign w:val="center"/>
          </w:tcPr>
          <w:p>
            <w:pPr>
              <w:adjustRightIn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  <w:t>1</w:t>
            </w:r>
          </w:p>
        </w:tc>
        <w:tc>
          <w:tcPr>
            <w:tcW w:w="1392" w:type="dxa"/>
            <w:noWrap w:val="0"/>
            <w:vAlign w:val="center"/>
          </w:tcPr>
          <w:p>
            <w:pPr>
              <w:pStyle w:val="19"/>
              <w:widowControl/>
              <w:spacing w:line="240" w:lineRule="auto"/>
              <w:jc w:val="center"/>
              <w:rPr>
                <w:rStyle w:val="12"/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2"/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类似项目</w:t>
            </w:r>
          </w:p>
          <w:p>
            <w:pPr>
              <w:pStyle w:val="19"/>
              <w:widowControl/>
              <w:spacing w:line="240" w:lineRule="auto"/>
              <w:jc w:val="center"/>
              <w:rPr>
                <w:rStyle w:val="12"/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2"/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业绩</w:t>
            </w:r>
          </w:p>
          <w:p>
            <w:pPr>
              <w:pStyle w:val="19"/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</w:pPr>
            <w:r>
              <w:rPr>
                <w:rStyle w:val="12"/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（</w:t>
            </w:r>
            <w:r>
              <w:rPr>
                <w:rStyle w:val="12"/>
                <w:rFonts w:hint="eastAsia"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6</w:t>
            </w:r>
            <w:r>
              <w:rPr>
                <w:rStyle w:val="12"/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分）</w:t>
            </w:r>
          </w:p>
        </w:tc>
        <w:tc>
          <w:tcPr>
            <w:tcW w:w="6760" w:type="dxa"/>
            <w:noWrap w:val="0"/>
            <w:vAlign w:val="center"/>
          </w:tcPr>
          <w:p>
            <w:pPr>
              <w:pStyle w:val="19"/>
              <w:widowControl/>
              <w:jc w:val="both"/>
              <w:rPr>
                <w:rStyle w:val="12"/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2"/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近三年（2023年</w:t>
            </w:r>
            <w:r>
              <w:rPr>
                <w:rStyle w:val="12"/>
                <w:rFonts w:hint="eastAsia"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7</w:t>
            </w:r>
            <w:r>
              <w:rPr>
                <w:rStyle w:val="12"/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月1日至今）同类业绩，每提供一项得</w:t>
            </w:r>
            <w:r>
              <w:rPr>
                <w:rStyle w:val="12"/>
                <w:rFonts w:hint="eastAsia"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</w:t>
            </w:r>
            <w:r>
              <w:rPr>
                <w:rStyle w:val="12"/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分，满分</w:t>
            </w:r>
            <w:r>
              <w:rPr>
                <w:rStyle w:val="12"/>
                <w:rFonts w:hint="eastAsia"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6</w:t>
            </w:r>
            <w:r>
              <w:rPr>
                <w:rStyle w:val="12"/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分。</w:t>
            </w:r>
          </w:p>
          <w:p>
            <w:pPr>
              <w:pStyle w:val="19"/>
              <w:widowControl/>
              <w:spacing w:line="240" w:lineRule="auto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2"/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响应文件内附中标通知书或合同复印件加盖公章。</w:t>
            </w:r>
          </w:p>
        </w:tc>
        <w:tc>
          <w:tcPr>
            <w:tcW w:w="823" w:type="dxa"/>
            <w:noWrap w:val="0"/>
            <w:vAlign w:val="center"/>
          </w:tcPr>
          <w:p>
            <w:pPr>
              <w:adjustRightIn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  <w:t>分</w:t>
            </w:r>
          </w:p>
        </w:tc>
      </w:tr>
    </w:tbl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right="0" w:rightChars="0"/>
        <w:jc w:val="center"/>
        <w:rPr>
          <w:rFonts w:hint="eastAsia" w:ascii="仿宋" w:hAnsi="仿宋" w:eastAsia="仿宋" w:cs="仿宋"/>
          <w:b/>
          <w:bCs w:val="0"/>
          <w:sz w:val="44"/>
          <w:szCs w:val="44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right="0" w:rightChars="0"/>
        <w:jc w:val="center"/>
        <w:rPr>
          <w:rFonts w:hint="eastAsia" w:ascii="仿宋" w:hAnsi="仿宋" w:eastAsia="仿宋" w:cs="仿宋"/>
          <w:b/>
          <w:bCs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tabs>
          <w:tab w:val="left" w:pos="56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43E542"/>
    <w:multiLevelType w:val="multilevel"/>
    <w:tmpl w:val="FC43E542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 w:ascii="宋体" w:hAnsi="宋体" w:eastAsia="宋体" w:cs="宋体"/>
        <w:sz w:val="24"/>
        <w:szCs w:val="24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 w:ascii="宋体" w:hAnsi="宋体" w:eastAsia="宋体" w:cs="宋体"/>
        <w:sz w:val="24"/>
        <w:szCs w:val="24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3" w:tentative="0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0NWFkNWUzZGQ2YmNmYTI4NDhjYjU5OTY4OTRkYWQifQ=="/>
  </w:docVars>
  <w:rsids>
    <w:rsidRoot w:val="00000000"/>
    <w:rsid w:val="00A95A9A"/>
    <w:rsid w:val="01D45B95"/>
    <w:rsid w:val="01F82835"/>
    <w:rsid w:val="07730EFF"/>
    <w:rsid w:val="07AA45D1"/>
    <w:rsid w:val="07DE6756"/>
    <w:rsid w:val="085805A3"/>
    <w:rsid w:val="096F24A6"/>
    <w:rsid w:val="0B896BF3"/>
    <w:rsid w:val="0BA61B29"/>
    <w:rsid w:val="0D31309F"/>
    <w:rsid w:val="0E7C659C"/>
    <w:rsid w:val="0EA55AF2"/>
    <w:rsid w:val="10EF12A7"/>
    <w:rsid w:val="15812C86"/>
    <w:rsid w:val="183C7D5E"/>
    <w:rsid w:val="1899024F"/>
    <w:rsid w:val="1974337C"/>
    <w:rsid w:val="1D4151CF"/>
    <w:rsid w:val="206D7C05"/>
    <w:rsid w:val="22086252"/>
    <w:rsid w:val="231509E4"/>
    <w:rsid w:val="27D06978"/>
    <w:rsid w:val="2B88437A"/>
    <w:rsid w:val="2D32673D"/>
    <w:rsid w:val="2DAC4350"/>
    <w:rsid w:val="2FA001B2"/>
    <w:rsid w:val="30893D22"/>
    <w:rsid w:val="391E6756"/>
    <w:rsid w:val="3A115951"/>
    <w:rsid w:val="3A3A5DD0"/>
    <w:rsid w:val="3BEE2DF4"/>
    <w:rsid w:val="3C5938F5"/>
    <w:rsid w:val="3F0244FB"/>
    <w:rsid w:val="3FA47376"/>
    <w:rsid w:val="40CF3007"/>
    <w:rsid w:val="437802BA"/>
    <w:rsid w:val="43802DE7"/>
    <w:rsid w:val="43FC4B5A"/>
    <w:rsid w:val="469D4E39"/>
    <w:rsid w:val="4D170E20"/>
    <w:rsid w:val="4EBF2023"/>
    <w:rsid w:val="50856DF4"/>
    <w:rsid w:val="50E908A7"/>
    <w:rsid w:val="51085492"/>
    <w:rsid w:val="53204D14"/>
    <w:rsid w:val="54A07B5F"/>
    <w:rsid w:val="54A64729"/>
    <w:rsid w:val="54F56ADF"/>
    <w:rsid w:val="58070251"/>
    <w:rsid w:val="594D6137"/>
    <w:rsid w:val="5D944AF5"/>
    <w:rsid w:val="5DF32F82"/>
    <w:rsid w:val="63D84E39"/>
    <w:rsid w:val="64BB049F"/>
    <w:rsid w:val="650E0E71"/>
    <w:rsid w:val="65BC08CD"/>
    <w:rsid w:val="6808538D"/>
    <w:rsid w:val="68B57855"/>
    <w:rsid w:val="69E14DA6"/>
    <w:rsid w:val="6BBB0FB6"/>
    <w:rsid w:val="6C613F7C"/>
    <w:rsid w:val="6D837F22"/>
    <w:rsid w:val="6E1703AC"/>
    <w:rsid w:val="720A534D"/>
    <w:rsid w:val="725956F5"/>
    <w:rsid w:val="72621A77"/>
    <w:rsid w:val="74D6302D"/>
    <w:rsid w:val="76C24CA9"/>
    <w:rsid w:val="775A04A7"/>
    <w:rsid w:val="775F555C"/>
    <w:rsid w:val="796450AB"/>
    <w:rsid w:val="7BE73D72"/>
    <w:rsid w:val="7CA8590F"/>
    <w:rsid w:val="7FEB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numPr>
        <w:ilvl w:val="0"/>
        <w:numId w:val="1"/>
      </w:numPr>
      <w:spacing w:line="360" w:lineRule="auto"/>
      <w:jc w:val="left"/>
      <w:outlineLvl w:val="0"/>
    </w:pPr>
    <w:rPr>
      <w:rFonts w:ascii="仿宋" w:hAnsi="仿宋" w:eastAsia="宋体" w:cs="仿宋"/>
      <w:b/>
      <w:sz w:val="24"/>
      <w:szCs w:val="32"/>
      <w:lang w:bidi="he-IL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4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next w:val="7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样式5"/>
    <w:basedOn w:val="2"/>
    <w:next w:val="1"/>
    <w:qFormat/>
    <w:uiPriority w:val="0"/>
    <w:pPr>
      <w:adjustRightInd w:val="0"/>
      <w:snapToGrid w:val="0"/>
      <w:ind w:firstLine="200" w:firstLineChars="200"/>
      <w:outlineLvl w:val="9"/>
    </w:pPr>
    <w:rPr>
      <w:rFonts w:ascii="宋体" w:hAnsi="宋体" w:cs="Arial Unicode MS"/>
      <w:b w:val="0"/>
      <w:color w:val="000000"/>
      <w:spacing w:val="8"/>
      <w:sz w:val="28"/>
      <w:szCs w:val="2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4"/>
    <w:next w:val="1"/>
    <w:qFormat/>
    <w:uiPriority w:val="0"/>
    <w:pPr>
      <w:ind w:firstLine="420" w:firstLineChars="200"/>
    </w:pPr>
    <w:rPr>
      <w:szCs w:val="24"/>
      <w:u w:val="single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paragraph" w:customStyle="1" w:styleId="14">
    <w:name w:val="Table Text"/>
    <w:basedOn w:val="1"/>
    <w:semiHidden/>
    <w:qFormat/>
    <w:uiPriority w:val="0"/>
    <w:rPr>
      <w:rFonts w:ascii="宋体" w:hAnsi="宋体" w:cs="宋体"/>
      <w:sz w:val="24"/>
      <w:lang w:eastAsia="en-US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Paragraph"/>
    <w:basedOn w:val="1"/>
    <w:qFormat/>
    <w:uiPriority w:val="1"/>
  </w:style>
  <w:style w:type="paragraph" w:styleId="17">
    <w:name w:val="List Paragraph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paragraph" w:customStyle="1" w:styleId="18">
    <w:name w:val="首行缩进"/>
    <w:basedOn w:val="1"/>
    <w:next w:val="1"/>
    <w:qFormat/>
    <w:uiPriority w:val="0"/>
    <w:pPr>
      <w:spacing w:line="360" w:lineRule="auto"/>
      <w:ind w:firstLine="480" w:firstLineChars="200"/>
    </w:pPr>
    <w:rPr>
      <w:rFonts w:hAnsi="宋体" w:cs="宋体"/>
      <w:kern w:val="0"/>
      <w:sz w:val="24"/>
      <w:szCs w:val="24"/>
    </w:rPr>
  </w:style>
  <w:style w:type="paragraph" w:customStyle="1" w:styleId="19">
    <w:name w:val="Normal_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2187</Words>
  <Characters>2441</Characters>
  <Lines>0</Lines>
  <Paragraphs>0</Paragraphs>
  <TotalTime>1</TotalTime>
  <ScaleCrop>false</ScaleCrop>
  <LinksUpToDate>false</LinksUpToDate>
  <CharactersWithSpaces>2628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2024-04-08T02:32:00Z</dcterms:created>
  <dc:creator>Administrator</dc:creator>
  <cp:lastModifiedBy>86135</cp:lastModifiedBy>
  <cp:lastPrinted>2024-05-24T00:25:00Z</cp:lastPrinted>
  <dcterms:modified xsi:type="dcterms:W3CDTF">2026-07-28T03:39:20Z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43DCD01F647441D190063A69AEF4F364</vt:lpwstr>
  </property>
  <property fmtid="{D5CDD505-2E9C-101B-9397-08002B2CF9AE}" pid="4" name="KSOTemplateDocerSaveRecord">
    <vt:lpwstr>eyJoZGlkIjoiNTdiNzlmNGJlNWFlNjUyZDBhY2M2YzU1NWQ5Y2Q4OTEiLCJ1c2VySWQiOiIzNzM1NDE2NzAifQ==</vt:lpwstr>
  </property>
</Properties>
</file>