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9"/>
        <w:widowControl w:val="0"/>
        <w:spacing w:before="240" w:beforeLines="100" w:line="360" w:lineRule="auto"/>
        <w:jc w:val="left"/>
        <w:outlineLvl w:val="2"/>
        <w:rPr>
          <w:rFonts w:hint="eastAsia" w:ascii="宋体" w:hAnsi="宋体" w:eastAsia="宋体" w:cs="宋体"/>
          <w:b/>
          <w:color w:val="auto"/>
          <w:sz w:val="30"/>
          <w:szCs w:val="30"/>
          <w:highlight w:val="none"/>
          <w:lang w:eastAsia="zh-CN"/>
        </w:rPr>
      </w:pPr>
      <w:bookmarkStart w:id="1" w:name="_GoBack"/>
      <w:bookmarkEnd w:id="1"/>
      <w:bookmarkStart w:id="0" w:name="_Toc17278086"/>
      <w:r>
        <w:rPr>
          <w:rFonts w:hint="eastAsia" w:ascii="宋体" w:hAnsi="宋体" w:eastAsia="宋体" w:cs="宋体"/>
          <w:b/>
          <w:color w:val="auto"/>
          <w:sz w:val="30"/>
          <w:szCs w:val="30"/>
          <w:highlight w:val="none"/>
          <w:lang w:eastAsia="zh-CN"/>
        </w:rPr>
        <w:t>附件二</w:t>
      </w:r>
    </w:p>
    <w:p>
      <w:pPr>
        <w:pStyle w:val="19"/>
        <w:widowControl w:val="0"/>
        <w:spacing w:before="240" w:beforeLines="100" w:line="360" w:lineRule="auto"/>
        <w:jc w:val="center"/>
        <w:outlineLvl w:val="2"/>
        <w:rPr>
          <w:rFonts w:hint="eastAsia" w:ascii="宋体" w:hAnsi="宋体" w:cs="宋体"/>
          <w:b/>
          <w:color w:val="auto"/>
          <w:sz w:val="30"/>
          <w:szCs w:val="30"/>
          <w:highlight w:val="none"/>
        </w:rPr>
      </w:pPr>
      <w:r>
        <w:rPr>
          <w:rFonts w:hint="eastAsia" w:ascii="宋体" w:hAnsi="宋体" w:eastAsia="宋体" w:cs="宋体"/>
          <w:b/>
          <w:color w:val="auto"/>
          <w:sz w:val="30"/>
          <w:szCs w:val="30"/>
          <w:highlight w:val="none"/>
        </w:rPr>
        <w:t>技术偏离表</w:t>
      </w:r>
      <w:bookmarkEnd w:id="0"/>
    </w:p>
    <w:tbl>
      <w:tblPr>
        <w:tblStyle w:val="10"/>
        <w:tblW w:w="57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777"/>
        <w:gridCol w:w="860"/>
        <w:gridCol w:w="3557"/>
        <w:gridCol w:w="1240"/>
        <w:gridCol w:w="1656"/>
        <w:gridCol w:w="9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399" w:type="pct"/>
            <w:vMerge w:val="restart"/>
            <w:noWrap w:val="0"/>
            <w:vAlign w:val="center"/>
          </w:tcPr>
          <w:p>
            <w:pPr>
              <w:spacing w:line="360" w:lineRule="auto"/>
              <w:jc w:val="both"/>
              <w:rPr>
                <w:rFonts w:hint="default" w:eastAsia="宋体"/>
                <w:color w:val="auto"/>
                <w:sz w:val="21"/>
                <w:szCs w:val="21"/>
                <w:highlight w:val="none"/>
                <w:lang w:val="en-US" w:eastAsia="zh-CN"/>
              </w:rPr>
            </w:pPr>
            <w:r>
              <w:rPr>
                <w:rFonts w:hint="eastAsia"/>
                <w:color w:val="auto"/>
                <w:sz w:val="21"/>
                <w:szCs w:val="21"/>
                <w:highlight w:val="none"/>
                <w:lang w:val="en-US" w:eastAsia="zh-CN"/>
              </w:rPr>
              <w:t>设备名称</w:t>
            </w:r>
          </w:p>
        </w:tc>
        <w:tc>
          <w:tcPr>
            <w:tcW w:w="397" w:type="pct"/>
            <w:vMerge w:val="restart"/>
            <w:noWrap w:val="0"/>
            <w:vAlign w:val="center"/>
          </w:tcPr>
          <w:p>
            <w:pPr>
              <w:spacing w:line="360" w:lineRule="auto"/>
              <w:jc w:val="center"/>
              <w:rPr>
                <w:color w:val="auto"/>
                <w:sz w:val="21"/>
                <w:szCs w:val="21"/>
                <w:highlight w:val="none"/>
              </w:rPr>
            </w:pPr>
            <w:r>
              <w:rPr>
                <w:color w:val="auto"/>
                <w:sz w:val="21"/>
                <w:szCs w:val="21"/>
                <w:highlight w:val="none"/>
              </w:rPr>
              <w:t>序号</w:t>
            </w:r>
          </w:p>
        </w:tc>
        <w:tc>
          <w:tcPr>
            <w:tcW w:w="2257" w:type="pct"/>
            <w:gridSpan w:val="2"/>
            <w:noWrap w:val="0"/>
            <w:vAlign w:val="center"/>
          </w:tcPr>
          <w:p>
            <w:pPr>
              <w:spacing w:line="360"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采购文件要求</w:t>
            </w:r>
          </w:p>
        </w:tc>
        <w:tc>
          <w:tcPr>
            <w:tcW w:w="1479" w:type="pct"/>
            <w:gridSpan w:val="2"/>
            <w:noWrap w:val="0"/>
            <w:vAlign w:val="center"/>
          </w:tcPr>
          <w:p>
            <w:pPr>
              <w:spacing w:line="360" w:lineRule="auto"/>
              <w:jc w:val="center"/>
              <w:rPr>
                <w:color w:val="auto"/>
                <w:sz w:val="21"/>
                <w:szCs w:val="21"/>
                <w:highlight w:val="none"/>
              </w:rPr>
            </w:pPr>
            <w:r>
              <w:rPr>
                <w:color w:val="auto"/>
                <w:sz w:val="21"/>
                <w:szCs w:val="21"/>
                <w:highlight w:val="none"/>
              </w:rPr>
              <w:t>响应文件响应情况</w:t>
            </w:r>
          </w:p>
        </w:tc>
        <w:tc>
          <w:tcPr>
            <w:tcW w:w="466" w:type="pct"/>
            <w:vMerge w:val="restart"/>
            <w:noWrap w:val="0"/>
            <w:vAlign w:val="center"/>
          </w:tcPr>
          <w:p>
            <w:pPr>
              <w:spacing w:line="360" w:lineRule="auto"/>
              <w:jc w:val="center"/>
              <w:rPr>
                <w:color w:val="auto"/>
                <w:sz w:val="21"/>
                <w:szCs w:val="21"/>
                <w:highlight w:val="none"/>
              </w:rPr>
            </w:pPr>
            <w:r>
              <w:rPr>
                <w:rFonts w:ascii="宋体" w:hAnsi="宋体"/>
                <w:color w:val="auto"/>
                <w:sz w:val="21"/>
                <w:szCs w:val="21"/>
                <w:highlight w:val="none"/>
              </w:rPr>
              <w:t>偏差内容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399" w:type="pct"/>
            <w:vMerge w:val="continue"/>
            <w:noWrap w:val="0"/>
            <w:vAlign w:val="center"/>
          </w:tcPr>
          <w:p>
            <w:pPr>
              <w:spacing w:line="360" w:lineRule="auto"/>
              <w:jc w:val="center"/>
              <w:rPr>
                <w:sz w:val="21"/>
                <w:szCs w:val="21"/>
              </w:rPr>
            </w:pPr>
          </w:p>
        </w:tc>
        <w:tc>
          <w:tcPr>
            <w:tcW w:w="397" w:type="pct"/>
            <w:vMerge w:val="continue"/>
            <w:noWrap w:val="0"/>
            <w:vAlign w:val="center"/>
          </w:tcPr>
          <w:p>
            <w:pPr>
              <w:spacing w:line="360" w:lineRule="auto"/>
              <w:jc w:val="center"/>
              <w:rPr>
                <w:sz w:val="21"/>
                <w:szCs w:val="21"/>
              </w:rPr>
            </w:pPr>
          </w:p>
        </w:tc>
        <w:tc>
          <w:tcPr>
            <w:tcW w:w="439" w:type="pct"/>
            <w:noWrap w:val="0"/>
            <w:vAlign w:val="center"/>
          </w:tcPr>
          <w:p>
            <w:pPr>
              <w:spacing w:line="360" w:lineRule="auto"/>
              <w:jc w:val="center"/>
              <w:rPr>
                <w:color w:val="auto"/>
                <w:sz w:val="21"/>
                <w:szCs w:val="21"/>
                <w:highlight w:val="none"/>
              </w:rPr>
            </w:pPr>
            <w:r>
              <w:rPr>
                <w:rFonts w:hint="eastAsia" w:ascii="宋体" w:hAnsi="宋体" w:eastAsia="宋体" w:cs="宋体"/>
                <w:b/>
                <w:color w:val="000000"/>
                <w:sz w:val="21"/>
                <w:szCs w:val="21"/>
              </w:rPr>
              <w:t>指标项</w:t>
            </w:r>
          </w:p>
        </w:tc>
        <w:tc>
          <w:tcPr>
            <w:tcW w:w="1817" w:type="pct"/>
            <w:noWrap w:val="0"/>
            <w:vAlign w:val="center"/>
          </w:tcPr>
          <w:p>
            <w:pPr>
              <w:spacing w:line="360" w:lineRule="auto"/>
              <w:jc w:val="center"/>
              <w:rPr>
                <w:color w:val="auto"/>
                <w:sz w:val="21"/>
                <w:szCs w:val="21"/>
                <w:highlight w:val="none"/>
              </w:rPr>
            </w:pPr>
            <w:r>
              <w:rPr>
                <w:rFonts w:hint="eastAsia" w:ascii="宋体" w:hAnsi="宋体" w:eastAsia="宋体" w:cs="宋体"/>
                <w:b/>
                <w:color w:val="000000"/>
                <w:sz w:val="21"/>
                <w:szCs w:val="21"/>
              </w:rPr>
              <w:t>技术规格要求</w:t>
            </w:r>
          </w:p>
        </w:tc>
        <w:tc>
          <w:tcPr>
            <w:tcW w:w="633" w:type="pct"/>
            <w:noWrap w:val="0"/>
            <w:vAlign w:val="center"/>
          </w:tcPr>
          <w:p>
            <w:pPr>
              <w:spacing w:line="360" w:lineRule="auto"/>
              <w:jc w:val="center"/>
              <w:rPr>
                <w:color w:val="auto"/>
                <w:sz w:val="21"/>
                <w:szCs w:val="21"/>
                <w:highlight w:val="none"/>
              </w:rPr>
            </w:pPr>
            <w:r>
              <w:rPr>
                <w:rFonts w:hint="eastAsia" w:ascii="宋体" w:hAnsi="宋体" w:eastAsia="宋体" w:cs="宋体"/>
                <w:b/>
                <w:color w:val="000000"/>
                <w:sz w:val="21"/>
                <w:szCs w:val="21"/>
              </w:rPr>
              <w:t>指标项</w:t>
            </w:r>
          </w:p>
        </w:tc>
        <w:tc>
          <w:tcPr>
            <w:tcW w:w="846" w:type="pct"/>
            <w:noWrap w:val="0"/>
            <w:vAlign w:val="center"/>
          </w:tcPr>
          <w:p>
            <w:pPr>
              <w:spacing w:line="360" w:lineRule="auto"/>
              <w:jc w:val="center"/>
              <w:rPr>
                <w:color w:val="auto"/>
                <w:sz w:val="21"/>
                <w:szCs w:val="21"/>
                <w:highlight w:val="none"/>
              </w:rPr>
            </w:pPr>
            <w:r>
              <w:rPr>
                <w:rFonts w:hint="eastAsia" w:ascii="宋体" w:hAnsi="宋体" w:eastAsia="宋体" w:cs="宋体"/>
                <w:b/>
                <w:color w:val="000000"/>
                <w:sz w:val="21"/>
                <w:szCs w:val="21"/>
              </w:rPr>
              <w:t>技术规格要求</w:t>
            </w:r>
          </w:p>
        </w:tc>
        <w:tc>
          <w:tcPr>
            <w:tcW w:w="466" w:type="pct"/>
            <w:vMerge w:val="continue"/>
            <w:noWrap w:val="0"/>
            <w:vAlign w:val="center"/>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restart"/>
            <w:noWrap w:val="0"/>
            <w:vAlign w:val="center"/>
          </w:tcPr>
          <w:p>
            <w:pPr>
              <w:spacing w:line="360" w:lineRule="auto"/>
              <w:jc w:val="center"/>
              <w:rPr>
                <w:color w:val="auto"/>
                <w:sz w:val="21"/>
                <w:szCs w:val="21"/>
                <w:highlight w:val="none"/>
              </w:rPr>
            </w:pPr>
            <w:r>
              <w:rPr>
                <w:rFonts w:hint="eastAsia" w:eastAsia="宋体" w:cs="Times New Roman"/>
                <w:color w:val="auto"/>
                <w:sz w:val="21"/>
                <w:szCs w:val="21"/>
                <w:highlight w:val="none"/>
                <w:lang w:val="en-US" w:eastAsia="zh-CN"/>
              </w:rPr>
              <w:t>86"临床教学显示中心</w:t>
            </w:r>
          </w:p>
        </w:tc>
        <w:tc>
          <w:tcPr>
            <w:tcW w:w="397" w:type="pct"/>
            <w:noWrap w:val="0"/>
            <w:vAlign w:val="center"/>
          </w:tcPr>
          <w:p>
            <w:pPr>
              <w:keepNext w:val="0"/>
              <w:keepLines w:val="0"/>
              <w:widowControl/>
              <w:numPr>
                <w:ilvl w:val="0"/>
                <w:numId w:val="1"/>
              </w:numPr>
              <w:suppressLineNumbers w:val="0"/>
              <w:spacing w:line="240" w:lineRule="auto"/>
              <w:ind w:left="425" w:leftChars="0" w:hanging="425" w:firstLineChars="0"/>
              <w:jc w:val="center"/>
              <w:textAlignment w:val="center"/>
              <w:rPr>
                <w:color w:val="auto"/>
                <w:sz w:val="21"/>
                <w:szCs w:val="21"/>
                <w:highlight w:val="none"/>
              </w:rPr>
            </w:pPr>
          </w:p>
        </w:tc>
        <w:tc>
          <w:tcPr>
            <w:tcW w:w="439" w:type="pct"/>
            <w:noWrap w:val="0"/>
            <w:vAlign w:val="center"/>
          </w:tcPr>
          <w:p>
            <w:pPr>
              <w:spacing w:line="320" w:lineRule="exact"/>
              <w:jc w:val="center"/>
              <w:rPr>
                <w:color w:val="auto"/>
                <w:sz w:val="21"/>
                <w:szCs w:val="21"/>
                <w:highlight w:val="none"/>
              </w:rPr>
            </w:pPr>
            <w:r>
              <w:rPr>
                <w:rFonts w:hint="eastAsia" w:ascii="宋体" w:hAnsi="宋体" w:eastAsia="宋体" w:cs="宋体"/>
                <w:color w:val="000000"/>
                <w:sz w:val="21"/>
                <w:szCs w:val="21"/>
                <w:lang w:val="en-US" w:eastAsia="zh-CN"/>
              </w:rPr>
              <w:t>屏幕规格</w:t>
            </w:r>
          </w:p>
        </w:tc>
        <w:tc>
          <w:tcPr>
            <w:tcW w:w="1817" w:type="pct"/>
            <w:noWrap w:val="0"/>
            <w:vAlign w:val="center"/>
          </w:tcPr>
          <w:p>
            <w:pPr>
              <w:spacing w:line="320" w:lineRule="exact"/>
              <w:jc w:val="left"/>
              <w:rPr>
                <w:color w:val="auto"/>
                <w:sz w:val="21"/>
                <w:szCs w:val="21"/>
                <w:highlight w:val="none"/>
              </w:rPr>
            </w:pPr>
            <w:r>
              <w:rPr>
                <w:rFonts w:hint="eastAsia" w:ascii="宋体" w:hAnsi="宋体" w:eastAsia="宋体" w:cs="宋体"/>
                <w:color w:val="000000"/>
                <w:kern w:val="2"/>
                <w:sz w:val="21"/>
                <w:szCs w:val="21"/>
                <w:highlight w:val="none"/>
                <w:lang w:val="en-US" w:eastAsia="zh-CN" w:bidi="ar-SA"/>
              </w:rPr>
              <w:t>尺寸≥86英寸，LED,分辨率≥3840×2160，像素大小≤0.4935mm，对比度≥4000:1，可视角度≥178</w:t>
            </w:r>
            <w:r>
              <w:rPr>
                <w:rFonts w:hint="eastAsia" w:ascii="宋体" w:hAnsi="宋体" w:eastAsia="宋体" w:cs="宋体"/>
                <w:color w:val="000000"/>
                <w:kern w:val="2"/>
                <w:sz w:val="21"/>
                <w:szCs w:val="21"/>
                <w:highlight w:val="none"/>
                <w:lang w:val="en-US" w:eastAsia="zh-CN" w:bidi="ar-SA"/>
              </w:rPr>
              <w:sym w:font="Symbol" w:char="F0B0"/>
            </w:r>
            <w:r>
              <w:rPr>
                <w:rFonts w:hint="eastAsia" w:ascii="宋体" w:hAnsi="宋体" w:eastAsia="宋体" w:cs="宋体"/>
                <w:color w:val="000000"/>
                <w:kern w:val="2"/>
                <w:sz w:val="21"/>
                <w:szCs w:val="21"/>
                <w:highlight w:val="none"/>
                <w:lang w:val="en-US" w:eastAsia="zh-CN" w:bidi="ar-SA"/>
              </w:rPr>
              <w:t>(CR＞10)，响应时间≤6ms，支持色彩≥10.7亿,亮度≥500cd/</w:t>
            </w:r>
            <w:r>
              <w:rPr>
                <w:rFonts w:hint="eastAsia" w:ascii="宋体" w:hAnsi="宋体" w:eastAsia="宋体" w:cs="宋体"/>
                <w:color w:val="auto"/>
                <w:sz w:val="21"/>
                <w:szCs w:val="21"/>
                <w:lang w:val="en-US" w:eastAsia="zh-CN"/>
              </w:rPr>
              <w:t>㎡</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color w:val="auto"/>
                <w:sz w:val="21"/>
                <w:szCs w:val="21"/>
                <w:highlight w:val="none"/>
              </w:rPr>
            </w:pPr>
          </w:p>
        </w:tc>
        <w:tc>
          <w:tcPr>
            <w:tcW w:w="397" w:type="pct"/>
            <w:noWrap w:val="0"/>
            <w:vAlign w:val="center"/>
          </w:tcPr>
          <w:p>
            <w:pPr>
              <w:keepNext w:val="0"/>
              <w:keepLines w:val="0"/>
              <w:widowControl/>
              <w:numPr>
                <w:ilvl w:val="0"/>
                <w:numId w:val="1"/>
              </w:numPr>
              <w:suppressLineNumbers w:val="0"/>
              <w:spacing w:line="240" w:lineRule="auto"/>
              <w:ind w:left="425" w:leftChars="0" w:hanging="425" w:firstLineChars="0"/>
              <w:jc w:val="center"/>
              <w:textAlignment w:val="center"/>
              <w:rPr>
                <w:color w:val="auto"/>
                <w:sz w:val="21"/>
                <w:szCs w:val="21"/>
                <w:highlight w:val="none"/>
              </w:rPr>
            </w:pPr>
          </w:p>
        </w:tc>
        <w:tc>
          <w:tcPr>
            <w:tcW w:w="439" w:type="pct"/>
            <w:noWrap w:val="0"/>
            <w:vAlign w:val="center"/>
          </w:tcPr>
          <w:p>
            <w:pPr>
              <w:spacing w:line="320" w:lineRule="exact"/>
              <w:jc w:val="center"/>
              <w:rPr>
                <w:color w:val="auto"/>
                <w:sz w:val="21"/>
                <w:szCs w:val="21"/>
                <w:highlight w:val="none"/>
              </w:rPr>
            </w:pPr>
            <w:r>
              <w:rPr>
                <w:rFonts w:hint="eastAsia" w:ascii="宋体" w:hAnsi="宋体" w:eastAsia="宋体" w:cs="宋体"/>
                <w:color w:val="auto"/>
                <w:kern w:val="2"/>
                <w:sz w:val="21"/>
                <w:szCs w:val="21"/>
                <w:lang w:val="en-US" w:eastAsia="zh-CN" w:bidi="ar-SA"/>
              </w:rPr>
              <w:t>触摸功能</w:t>
            </w:r>
          </w:p>
        </w:tc>
        <w:tc>
          <w:tcPr>
            <w:tcW w:w="1817" w:type="pct"/>
            <w:noWrap w:val="0"/>
            <w:vAlign w:val="center"/>
          </w:tcPr>
          <w:p>
            <w:pPr>
              <w:spacing w:line="320" w:lineRule="exact"/>
              <w:jc w:val="left"/>
              <w:rPr>
                <w:color w:val="auto"/>
                <w:sz w:val="21"/>
                <w:szCs w:val="21"/>
                <w:highlight w:val="none"/>
              </w:rPr>
            </w:pPr>
            <w:r>
              <w:rPr>
                <w:rFonts w:hint="eastAsia" w:ascii="宋体" w:hAnsi="宋体" w:eastAsia="宋体" w:cs="宋体"/>
                <w:color w:val="auto"/>
                <w:kern w:val="2"/>
                <w:sz w:val="21"/>
                <w:szCs w:val="21"/>
                <w:lang w:val="en-US" w:eastAsia="zh-CN" w:bidi="ar-SA"/>
              </w:rPr>
              <w:t>具有红外触摸屏功能，最大支持二十点触摸</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color w:val="auto"/>
                <w:sz w:val="21"/>
                <w:szCs w:val="21"/>
                <w:highlight w:val="none"/>
              </w:rPr>
            </w:pPr>
          </w:p>
        </w:tc>
        <w:tc>
          <w:tcPr>
            <w:tcW w:w="397" w:type="pct"/>
            <w:noWrap w:val="0"/>
            <w:vAlign w:val="center"/>
          </w:tcPr>
          <w:p>
            <w:pPr>
              <w:keepNext w:val="0"/>
              <w:keepLines w:val="0"/>
              <w:widowControl/>
              <w:numPr>
                <w:ilvl w:val="0"/>
                <w:numId w:val="1"/>
              </w:numPr>
              <w:suppressLineNumbers w:val="0"/>
              <w:spacing w:line="240" w:lineRule="auto"/>
              <w:ind w:left="425" w:leftChars="0" w:hanging="425" w:firstLineChars="0"/>
              <w:jc w:val="center"/>
              <w:textAlignment w:val="center"/>
              <w:rPr>
                <w:color w:val="auto"/>
                <w:sz w:val="21"/>
                <w:szCs w:val="21"/>
                <w:highlight w:val="none"/>
              </w:rPr>
            </w:pPr>
          </w:p>
        </w:tc>
        <w:tc>
          <w:tcPr>
            <w:tcW w:w="439" w:type="pct"/>
            <w:noWrap w:val="0"/>
            <w:vAlign w:val="center"/>
          </w:tcPr>
          <w:p>
            <w:pPr>
              <w:keepNext w:val="0"/>
              <w:keepLines w:val="0"/>
              <w:widowControl/>
              <w:suppressLineNumbers w:val="0"/>
              <w:spacing w:line="240" w:lineRule="auto"/>
              <w:jc w:val="center"/>
              <w:textAlignment w:val="center"/>
              <w:rPr>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电源</w:t>
            </w:r>
          </w:p>
        </w:tc>
        <w:tc>
          <w:tcPr>
            <w:tcW w:w="1817" w:type="pct"/>
            <w:noWrap w:val="0"/>
            <w:vAlign w:val="center"/>
          </w:tcPr>
          <w:p>
            <w:pPr>
              <w:keepNext w:val="0"/>
              <w:keepLines w:val="0"/>
              <w:widowControl/>
              <w:suppressLineNumbers w:val="0"/>
              <w:spacing w:line="240" w:lineRule="auto"/>
              <w:jc w:val="both"/>
              <w:textAlignment w:val="center"/>
              <w:rPr>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采用内置式电源，以确保产品长时间应用可靠性</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color w:val="auto"/>
                <w:sz w:val="21"/>
                <w:szCs w:val="21"/>
                <w:highlight w:val="none"/>
              </w:rPr>
            </w:pPr>
          </w:p>
        </w:tc>
        <w:tc>
          <w:tcPr>
            <w:tcW w:w="397" w:type="pct"/>
            <w:noWrap w:val="0"/>
            <w:vAlign w:val="center"/>
          </w:tcPr>
          <w:p>
            <w:pPr>
              <w:keepNext w:val="0"/>
              <w:keepLines w:val="0"/>
              <w:widowControl/>
              <w:numPr>
                <w:ilvl w:val="0"/>
                <w:numId w:val="1"/>
              </w:numPr>
              <w:suppressLineNumbers w:val="0"/>
              <w:spacing w:line="240" w:lineRule="auto"/>
              <w:ind w:left="425" w:leftChars="0" w:hanging="425" w:firstLineChars="0"/>
              <w:jc w:val="center"/>
              <w:textAlignment w:val="center"/>
              <w:rPr>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w:t>
            </w:r>
          </w:p>
        </w:tc>
        <w:tc>
          <w:tcPr>
            <w:tcW w:w="439" w:type="pct"/>
            <w:noWrap w:val="0"/>
            <w:vAlign w:val="center"/>
          </w:tcPr>
          <w:p>
            <w:pPr>
              <w:keepNext w:val="0"/>
              <w:keepLines w:val="0"/>
              <w:widowControl/>
              <w:suppressLineNumbers w:val="0"/>
              <w:spacing w:line="240" w:lineRule="auto"/>
              <w:jc w:val="center"/>
              <w:textAlignment w:val="center"/>
              <w:rPr>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金属外壳</w:t>
            </w:r>
          </w:p>
        </w:tc>
        <w:tc>
          <w:tcPr>
            <w:tcW w:w="1817" w:type="pct"/>
            <w:noWrap w:val="0"/>
            <w:vAlign w:val="center"/>
          </w:tcPr>
          <w:p>
            <w:pPr>
              <w:numPr>
                <w:ilvl w:val="0"/>
                <w:numId w:val="0"/>
              </w:numPr>
              <w:spacing w:line="320" w:lineRule="exact"/>
              <w:ind w:left="0" w:leftChars="0" w:firstLine="0" w:firstLineChars="0"/>
              <w:jc w:val="left"/>
              <w:rPr>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高强度、高可靠性、抗干扰、低辐射，表面涂层符合RoHS环保标准</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color w:val="auto"/>
                <w:sz w:val="21"/>
                <w:szCs w:val="21"/>
                <w:highlight w:val="none"/>
              </w:rPr>
            </w:pPr>
          </w:p>
        </w:tc>
        <w:tc>
          <w:tcPr>
            <w:tcW w:w="397" w:type="pct"/>
            <w:noWrap w:val="0"/>
            <w:vAlign w:val="center"/>
          </w:tcPr>
          <w:p>
            <w:pPr>
              <w:keepNext w:val="0"/>
              <w:keepLines w:val="0"/>
              <w:widowControl/>
              <w:numPr>
                <w:ilvl w:val="0"/>
                <w:numId w:val="1"/>
              </w:numPr>
              <w:suppressLineNumbers w:val="0"/>
              <w:spacing w:line="240" w:lineRule="auto"/>
              <w:ind w:left="425" w:leftChars="0" w:hanging="425" w:firstLineChars="0"/>
              <w:jc w:val="center"/>
              <w:textAlignment w:val="center"/>
              <w:rPr>
                <w:color w:val="auto"/>
                <w:sz w:val="21"/>
                <w:szCs w:val="21"/>
                <w:highlight w:val="none"/>
              </w:rPr>
            </w:pPr>
          </w:p>
        </w:tc>
        <w:tc>
          <w:tcPr>
            <w:tcW w:w="439" w:type="pct"/>
            <w:noWrap w:val="0"/>
            <w:vAlign w:val="center"/>
          </w:tcPr>
          <w:p>
            <w:pPr>
              <w:keepNext w:val="0"/>
              <w:keepLines w:val="0"/>
              <w:widowControl/>
              <w:suppressLineNumbers w:val="0"/>
              <w:spacing w:line="240" w:lineRule="auto"/>
              <w:jc w:val="center"/>
              <w:textAlignment w:val="center"/>
              <w:rPr>
                <w:color w:val="auto"/>
                <w:sz w:val="21"/>
                <w:szCs w:val="21"/>
                <w:highlight w:val="none"/>
              </w:rPr>
            </w:pPr>
            <w:r>
              <w:rPr>
                <w:rFonts w:hint="eastAsia" w:ascii="宋体" w:hAnsi="宋体" w:eastAsia="宋体" w:cs="宋体"/>
                <w:color w:val="auto"/>
                <w:sz w:val="21"/>
                <w:szCs w:val="21"/>
                <w:highlight w:val="none"/>
                <w:lang w:val="en-US" w:eastAsia="zh-CN"/>
              </w:rPr>
              <w:t>信号切换</w:t>
            </w:r>
          </w:p>
        </w:tc>
        <w:tc>
          <w:tcPr>
            <w:tcW w:w="1817" w:type="pct"/>
            <w:noWrap w:val="0"/>
            <w:vAlign w:val="center"/>
          </w:tcPr>
          <w:p>
            <w:pPr>
              <w:keepNext w:val="0"/>
              <w:keepLines w:val="0"/>
              <w:widowControl/>
              <w:suppressLineNumbers w:val="0"/>
              <w:spacing w:line="240" w:lineRule="auto"/>
              <w:jc w:val="both"/>
              <w:textAlignment w:val="center"/>
              <w:rPr>
                <w:color w:val="auto"/>
                <w:sz w:val="21"/>
                <w:szCs w:val="21"/>
                <w:highlight w:val="none"/>
              </w:rPr>
            </w:pPr>
            <w:r>
              <w:rPr>
                <w:rFonts w:hint="eastAsia" w:ascii="宋体" w:hAnsi="宋体" w:eastAsia="宋体" w:cs="宋体"/>
                <w:color w:val="auto"/>
                <w:kern w:val="2"/>
                <w:sz w:val="21"/>
                <w:szCs w:val="21"/>
                <w:highlight w:val="none"/>
                <w:lang w:val="en-US" w:eastAsia="zh-CN" w:bidi="ar-SA"/>
              </w:rPr>
              <w:t>支持一键打开信号通道切换功能，需提供实际产品的内置操作功能菜单的截图界面照片</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color w:val="auto"/>
                <w:sz w:val="21"/>
                <w:szCs w:val="21"/>
                <w:highlight w:val="none"/>
              </w:rPr>
            </w:pPr>
          </w:p>
        </w:tc>
        <w:tc>
          <w:tcPr>
            <w:tcW w:w="397" w:type="pct"/>
            <w:noWrap w:val="0"/>
            <w:vAlign w:val="center"/>
          </w:tcPr>
          <w:p>
            <w:pPr>
              <w:keepNext w:val="0"/>
              <w:keepLines w:val="0"/>
              <w:widowControl/>
              <w:numPr>
                <w:ilvl w:val="0"/>
                <w:numId w:val="1"/>
              </w:numPr>
              <w:suppressLineNumbers w:val="0"/>
              <w:spacing w:line="240" w:lineRule="auto"/>
              <w:ind w:left="425" w:leftChars="0" w:hanging="425" w:firstLineChars="0"/>
              <w:jc w:val="center"/>
              <w:textAlignment w:val="center"/>
              <w:rPr>
                <w:color w:val="auto"/>
                <w:sz w:val="21"/>
                <w:szCs w:val="21"/>
                <w:highlight w:val="none"/>
              </w:rPr>
            </w:pPr>
          </w:p>
        </w:tc>
        <w:tc>
          <w:tcPr>
            <w:tcW w:w="439" w:type="pct"/>
            <w:noWrap w:val="0"/>
            <w:vAlign w:val="center"/>
          </w:tcPr>
          <w:p>
            <w:pPr>
              <w:keepNext w:val="0"/>
              <w:keepLines w:val="0"/>
              <w:widowControl/>
              <w:suppressLineNumbers w:val="0"/>
              <w:spacing w:line="240" w:lineRule="auto"/>
              <w:jc w:val="center"/>
              <w:textAlignment w:val="center"/>
              <w:rPr>
                <w:color w:val="auto"/>
                <w:sz w:val="21"/>
                <w:szCs w:val="21"/>
                <w:highlight w:val="none"/>
              </w:rPr>
            </w:pPr>
            <w:r>
              <w:rPr>
                <w:rFonts w:hint="eastAsia" w:ascii="宋体" w:hAnsi="宋体" w:eastAsia="宋体" w:cs="宋体"/>
                <w:color w:val="auto"/>
                <w:sz w:val="21"/>
                <w:szCs w:val="21"/>
                <w:highlight w:val="none"/>
                <w:lang w:val="en-US" w:eastAsia="zh-CN"/>
              </w:rPr>
              <w:t>图像调节</w:t>
            </w:r>
          </w:p>
        </w:tc>
        <w:tc>
          <w:tcPr>
            <w:tcW w:w="1817" w:type="pct"/>
            <w:noWrap w:val="0"/>
            <w:vAlign w:val="center"/>
          </w:tcPr>
          <w:p>
            <w:pPr>
              <w:keepNext w:val="0"/>
              <w:keepLines w:val="0"/>
              <w:widowControl/>
              <w:suppressLineNumbers w:val="0"/>
              <w:spacing w:line="240" w:lineRule="auto"/>
              <w:jc w:val="both"/>
              <w:textAlignment w:val="center"/>
              <w:rPr>
                <w:color w:val="auto"/>
                <w:sz w:val="21"/>
                <w:szCs w:val="21"/>
                <w:highlight w:val="none"/>
              </w:rPr>
            </w:pPr>
            <w:r>
              <w:rPr>
                <w:rFonts w:hint="eastAsia" w:ascii="宋体" w:hAnsi="宋体" w:eastAsia="宋体" w:cs="宋体"/>
                <w:color w:val="auto"/>
                <w:kern w:val="2"/>
                <w:sz w:val="21"/>
                <w:szCs w:val="21"/>
                <w:highlight w:val="none"/>
                <w:lang w:val="en-US" w:eastAsia="zh-CN" w:bidi="ar-SA"/>
              </w:rPr>
              <w:t>支持对图像亮度、对比度、满足多种应用模式</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color w:val="auto"/>
                <w:sz w:val="21"/>
                <w:szCs w:val="21"/>
                <w:highlight w:val="none"/>
              </w:rPr>
            </w:pPr>
          </w:p>
        </w:tc>
        <w:tc>
          <w:tcPr>
            <w:tcW w:w="397" w:type="pct"/>
            <w:noWrap w:val="0"/>
            <w:vAlign w:val="center"/>
          </w:tcPr>
          <w:p>
            <w:pPr>
              <w:keepNext w:val="0"/>
              <w:keepLines w:val="0"/>
              <w:widowControl/>
              <w:numPr>
                <w:ilvl w:val="0"/>
                <w:numId w:val="1"/>
              </w:numPr>
              <w:suppressLineNumbers w:val="0"/>
              <w:spacing w:line="240" w:lineRule="auto"/>
              <w:ind w:left="425" w:leftChars="0" w:hanging="425" w:firstLineChars="0"/>
              <w:jc w:val="center"/>
              <w:textAlignment w:val="center"/>
              <w:rPr>
                <w:color w:val="auto"/>
                <w:sz w:val="21"/>
                <w:szCs w:val="21"/>
                <w:highlight w:val="none"/>
              </w:rPr>
            </w:pPr>
          </w:p>
        </w:tc>
        <w:tc>
          <w:tcPr>
            <w:tcW w:w="439" w:type="pct"/>
            <w:noWrap w:val="0"/>
            <w:vAlign w:val="center"/>
          </w:tcPr>
          <w:p>
            <w:pPr>
              <w:keepNext w:val="0"/>
              <w:keepLines w:val="0"/>
              <w:widowControl/>
              <w:suppressLineNumbers w:val="0"/>
              <w:spacing w:line="240" w:lineRule="auto"/>
              <w:jc w:val="center"/>
              <w:textAlignment w:val="center"/>
              <w:rPr>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信号接口</w:t>
            </w:r>
          </w:p>
        </w:tc>
        <w:tc>
          <w:tcPr>
            <w:tcW w:w="1817" w:type="pct"/>
            <w:noWrap w:val="0"/>
            <w:vAlign w:val="center"/>
          </w:tcPr>
          <w:p>
            <w:pPr>
              <w:keepNext w:val="0"/>
              <w:keepLines w:val="0"/>
              <w:widowControl/>
              <w:suppressLineNumbers w:val="0"/>
              <w:spacing w:line="240" w:lineRule="auto"/>
              <w:jc w:val="both"/>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2"/>
                <w:sz w:val="21"/>
                <w:szCs w:val="21"/>
                <w:u w:val="none"/>
                <w:lang w:val="en-US" w:eastAsia="zh-CN" w:bidi="ar-SA"/>
              </w:rPr>
              <w:t>输入：HDMI</w:t>
            </w:r>
            <w:r>
              <w:rPr>
                <w:rFonts w:hint="eastAsia" w:ascii="宋体" w:hAnsi="宋体" w:eastAsia="宋体" w:cs="宋体"/>
                <w:color w:val="000000"/>
                <w:kern w:val="2"/>
                <w:sz w:val="21"/>
                <w:szCs w:val="21"/>
                <w:highlight w:val="none"/>
                <w:lang w:val="en-US" w:eastAsia="zh-CN" w:bidi="ar-SA"/>
              </w:rPr>
              <w:t>≥</w:t>
            </w:r>
            <w:r>
              <w:rPr>
                <w:rFonts w:hint="eastAsia" w:ascii="宋体" w:hAnsi="宋体" w:eastAsia="宋体" w:cs="宋体"/>
                <w:i w:val="0"/>
                <w:iCs w:val="0"/>
                <w:color w:val="auto"/>
                <w:kern w:val="2"/>
                <w:sz w:val="21"/>
                <w:szCs w:val="21"/>
                <w:u w:val="none"/>
                <w:lang w:val="en-US" w:eastAsia="zh-CN" w:bidi="ar-SA"/>
              </w:rPr>
              <w:t>2,AV IN</w:t>
            </w:r>
            <w:r>
              <w:rPr>
                <w:rFonts w:hint="eastAsia" w:ascii="宋体" w:hAnsi="宋体" w:eastAsia="宋体" w:cs="宋体"/>
                <w:color w:val="000000"/>
                <w:kern w:val="2"/>
                <w:sz w:val="21"/>
                <w:szCs w:val="21"/>
                <w:highlight w:val="none"/>
                <w:lang w:val="en-US" w:eastAsia="zh-CN" w:bidi="ar-SA"/>
              </w:rPr>
              <w:t>≥</w:t>
            </w:r>
            <w:r>
              <w:rPr>
                <w:rFonts w:hint="eastAsia" w:ascii="宋体" w:hAnsi="宋体" w:eastAsia="宋体" w:cs="宋体"/>
                <w:i w:val="0"/>
                <w:iCs w:val="0"/>
                <w:color w:val="auto"/>
                <w:kern w:val="2"/>
                <w:sz w:val="21"/>
                <w:szCs w:val="21"/>
                <w:u w:val="none"/>
                <w:lang w:val="en-US" w:eastAsia="zh-CN" w:bidi="ar-SA"/>
              </w:rPr>
              <w:t>2,HDMI Audio input</w:t>
            </w:r>
            <w:r>
              <w:rPr>
                <w:rFonts w:hint="eastAsia" w:ascii="宋体" w:hAnsi="宋体" w:eastAsia="宋体" w:cs="宋体"/>
                <w:color w:val="000000"/>
                <w:kern w:val="2"/>
                <w:sz w:val="21"/>
                <w:szCs w:val="21"/>
                <w:highlight w:val="none"/>
                <w:lang w:val="en-US" w:eastAsia="zh-CN" w:bidi="ar-SA"/>
              </w:rPr>
              <w:t>≥</w:t>
            </w:r>
            <w:r>
              <w:rPr>
                <w:rFonts w:hint="eastAsia" w:ascii="宋体" w:hAnsi="宋体" w:eastAsia="宋体" w:cs="宋体"/>
                <w:i w:val="0"/>
                <w:iCs w:val="0"/>
                <w:color w:val="auto"/>
                <w:kern w:val="2"/>
                <w:sz w:val="21"/>
                <w:szCs w:val="21"/>
                <w:u w:val="none"/>
                <w:lang w:val="en-US" w:eastAsia="zh-CN" w:bidi="ar-SA"/>
              </w:rPr>
              <w:t>2，Earphone OUT</w:t>
            </w:r>
            <w:r>
              <w:rPr>
                <w:rFonts w:hint="eastAsia" w:ascii="宋体" w:hAnsi="宋体" w:eastAsia="宋体" w:cs="宋体"/>
                <w:color w:val="000000"/>
                <w:kern w:val="2"/>
                <w:sz w:val="21"/>
                <w:szCs w:val="21"/>
                <w:highlight w:val="none"/>
                <w:lang w:val="en-US" w:eastAsia="zh-CN" w:bidi="ar-SA"/>
              </w:rPr>
              <w:t>≥</w:t>
            </w:r>
            <w:r>
              <w:rPr>
                <w:rFonts w:hint="eastAsia" w:ascii="宋体" w:hAnsi="宋体" w:eastAsia="宋体" w:cs="宋体"/>
                <w:i w:val="0"/>
                <w:iCs w:val="0"/>
                <w:color w:val="auto"/>
                <w:kern w:val="2"/>
                <w:sz w:val="21"/>
                <w:szCs w:val="21"/>
                <w:u w:val="none"/>
                <w:lang w:val="en-US" w:eastAsia="zh-CN" w:bidi="ar-SA"/>
              </w:rPr>
              <w:t>1，COAX</w:t>
            </w:r>
            <w:r>
              <w:rPr>
                <w:rFonts w:hint="eastAsia" w:ascii="宋体" w:hAnsi="宋体" w:eastAsia="宋体" w:cs="宋体"/>
                <w:color w:val="000000"/>
                <w:kern w:val="2"/>
                <w:sz w:val="21"/>
                <w:szCs w:val="21"/>
                <w:highlight w:val="none"/>
                <w:lang w:val="en-US" w:eastAsia="zh-CN" w:bidi="ar-SA"/>
              </w:rPr>
              <w:t>≥</w:t>
            </w:r>
            <w:r>
              <w:rPr>
                <w:rFonts w:hint="eastAsia" w:ascii="宋体" w:hAnsi="宋体" w:eastAsia="宋体" w:cs="宋体"/>
                <w:i w:val="0"/>
                <w:iCs w:val="0"/>
                <w:color w:val="auto"/>
                <w:kern w:val="2"/>
                <w:sz w:val="21"/>
                <w:szCs w:val="21"/>
                <w:u w:val="none"/>
                <w:lang w:val="en-US" w:eastAsia="zh-CN" w:bidi="ar-SA"/>
              </w:rPr>
              <w:t>1，PC-AUDIO</w:t>
            </w:r>
            <w:r>
              <w:rPr>
                <w:rFonts w:hint="eastAsia" w:ascii="宋体" w:hAnsi="宋体" w:eastAsia="宋体" w:cs="宋体"/>
                <w:color w:val="000000"/>
                <w:kern w:val="2"/>
                <w:sz w:val="21"/>
                <w:szCs w:val="21"/>
                <w:highlight w:val="none"/>
                <w:lang w:val="en-US" w:eastAsia="zh-CN" w:bidi="ar-SA"/>
              </w:rPr>
              <w:t>≥</w:t>
            </w:r>
            <w:r>
              <w:rPr>
                <w:rFonts w:hint="eastAsia" w:ascii="宋体" w:hAnsi="宋体" w:eastAsia="宋体" w:cs="宋体"/>
                <w:i w:val="0"/>
                <w:iCs w:val="0"/>
                <w:color w:val="auto"/>
                <w:kern w:val="2"/>
                <w:sz w:val="21"/>
                <w:szCs w:val="21"/>
                <w:u w:val="none"/>
                <w:lang w:val="en-US" w:eastAsia="zh-CN" w:bidi="ar-SA"/>
              </w:rPr>
              <w:t>1，MIC</w:t>
            </w:r>
            <w:r>
              <w:rPr>
                <w:rFonts w:hint="eastAsia" w:ascii="宋体" w:hAnsi="宋体" w:eastAsia="宋体" w:cs="宋体"/>
                <w:color w:val="000000"/>
                <w:kern w:val="2"/>
                <w:sz w:val="21"/>
                <w:szCs w:val="21"/>
                <w:highlight w:val="none"/>
                <w:lang w:val="en-US" w:eastAsia="zh-CN" w:bidi="ar-SA"/>
              </w:rPr>
              <w:t>≥</w:t>
            </w:r>
            <w:r>
              <w:rPr>
                <w:rFonts w:hint="eastAsia" w:ascii="宋体" w:hAnsi="宋体" w:eastAsia="宋体" w:cs="宋体"/>
                <w:i w:val="0"/>
                <w:iCs w:val="0"/>
                <w:color w:val="auto"/>
                <w:kern w:val="2"/>
                <w:sz w:val="21"/>
                <w:szCs w:val="21"/>
                <w:u w:val="none"/>
                <w:lang w:val="en-US" w:eastAsia="zh-CN" w:bidi="ar-SA"/>
              </w:rPr>
              <w:t>1，RS232串口</w:t>
            </w:r>
            <w:r>
              <w:rPr>
                <w:rFonts w:hint="eastAsia" w:ascii="宋体" w:hAnsi="宋体" w:eastAsia="宋体" w:cs="宋体"/>
                <w:color w:val="000000"/>
                <w:kern w:val="2"/>
                <w:sz w:val="21"/>
                <w:szCs w:val="21"/>
                <w:highlight w:val="none"/>
                <w:lang w:val="en-US" w:eastAsia="zh-CN" w:bidi="ar-SA"/>
              </w:rPr>
              <w:t>≥</w:t>
            </w:r>
            <w:r>
              <w:rPr>
                <w:rFonts w:hint="eastAsia" w:ascii="宋体" w:hAnsi="宋体" w:eastAsia="宋体" w:cs="宋体"/>
                <w:i w:val="0"/>
                <w:iCs w:val="0"/>
                <w:color w:val="auto"/>
                <w:kern w:val="2"/>
                <w:sz w:val="21"/>
                <w:szCs w:val="21"/>
                <w:u w:val="none"/>
                <w:lang w:val="en-US" w:eastAsia="zh-CN" w:bidi="ar-SA"/>
              </w:rPr>
              <w:t>1</w:t>
            </w:r>
          </w:p>
          <w:p>
            <w:pPr>
              <w:keepNext w:val="0"/>
              <w:keepLines w:val="0"/>
              <w:widowControl/>
              <w:suppressLineNumbers w:val="0"/>
              <w:spacing w:line="240" w:lineRule="auto"/>
              <w:jc w:val="both"/>
              <w:textAlignment w:val="center"/>
              <w:rPr>
                <w:color w:val="auto"/>
                <w:sz w:val="21"/>
                <w:szCs w:val="21"/>
                <w:highlight w:val="none"/>
              </w:rPr>
            </w:pPr>
            <w:r>
              <w:rPr>
                <w:rFonts w:hint="eastAsia" w:ascii="宋体" w:hAnsi="宋体" w:eastAsia="宋体" w:cs="宋体"/>
                <w:i w:val="0"/>
                <w:iCs w:val="0"/>
                <w:color w:val="auto"/>
                <w:kern w:val="2"/>
                <w:sz w:val="21"/>
                <w:szCs w:val="21"/>
                <w:u w:val="none"/>
                <w:lang w:val="en-US" w:eastAsia="zh-CN" w:bidi="ar-SA"/>
              </w:rPr>
              <w:t>输出：HDMI</w:t>
            </w:r>
            <w:r>
              <w:rPr>
                <w:rFonts w:hint="eastAsia" w:ascii="宋体" w:hAnsi="宋体" w:eastAsia="宋体" w:cs="宋体"/>
                <w:color w:val="000000"/>
                <w:kern w:val="2"/>
                <w:sz w:val="21"/>
                <w:szCs w:val="21"/>
                <w:highlight w:val="none"/>
                <w:lang w:val="en-US" w:eastAsia="zh-CN" w:bidi="ar-SA"/>
              </w:rPr>
              <w:t>≥</w:t>
            </w:r>
            <w:r>
              <w:rPr>
                <w:rFonts w:hint="eastAsia" w:ascii="宋体" w:hAnsi="宋体" w:eastAsia="宋体" w:cs="宋体"/>
                <w:i w:val="0"/>
                <w:iCs w:val="0"/>
                <w:color w:val="auto"/>
                <w:kern w:val="2"/>
                <w:sz w:val="21"/>
                <w:szCs w:val="21"/>
                <w:u w:val="none"/>
                <w:lang w:val="en-US" w:eastAsia="zh-CN" w:bidi="ar-SA"/>
              </w:rPr>
              <w:t>1，DP</w:t>
            </w:r>
            <w:r>
              <w:rPr>
                <w:rFonts w:hint="eastAsia" w:ascii="宋体" w:hAnsi="宋体" w:eastAsia="宋体" w:cs="宋体"/>
                <w:color w:val="000000"/>
                <w:kern w:val="2"/>
                <w:sz w:val="21"/>
                <w:szCs w:val="21"/>
                <w:highlight w:val="none"/>
                <w:lang w:val="en-US" w:eastAsia="zh-CN" w:bidi="ar-SA"/>
              </w:rPr>
              <w:t>≥</w:t>
            </w:r>
            <w:r>
              <w:rPr>
                <w:rFonts w:hint="eastAsia" w:ascii="宋体" w:hAnsi="宋体" w:eastAsia="宋体" w:cs="宋体"/>
                <w:i w:val="0"/>
                <w:iCs w:val="0"/>
                <w:color w:val="auto"/>
                <w:kern w:val="2"/>
                <w:sz w:val="21"/>
                <w:szCs w:val="21"/>
                <w:u w:val="none"/>
                <w:lang w:val="en-US" w:eastAsia="zh-CN" w:bidi="ar-SA"/>
              </w:rPr>
              <w:t>1,AV OUT</w:t>
            </w:r>
            <w:r>
              <w:rPr>
                <w:rFonts w:hint="eastAsia" w:ascii="宋体" w:hAnsi="宋体" w:eastAsia="宋体" w:cs="宋体"/>
                <w:color w:val="000000"/>
                <w:kern w:val="2"/>
                <w:sz w:val="21"/>
                <w:szCs w:val="21"/>
                <w:highlight w:val="none"/>
                <w:lang w:val="en-US" w:eastAsia="zh-CN" w:bidi="ar-SA"/>
              </w:rPr>
              <w:t>≥</w:t>
            </w:r>
            <w:r>
              <w:rPr>
                <w:rFonts w:hint="eastAsia" w:ascii="宋体" w:hAnsi="宋体" w:eastAsia="宋体" w:cs="宋体"/>
                <w:i w:val="0"/>
                <w:iCs w:val="0"/>
                <w:color w:val="auto"/>
                <w:kern w:val="2"/>
                <w:sz w:val="21"/>
                <w:szCs w:val="21"/>
                <w:u w:val="none"/>
                <w:lang w:val="en-US" w:eastAsia="zh-CN" w:bidi="ar-SA"/>
              </w:rPr>
              <w:t>1</w:t>
            </w:r>
            <w:r>
              <w:rPr>
                <w:rFonts w:hint="eastAsia" w:ascii="宋体" w:hAnsi="宋体" w:eastAsia="宋体" w:cs="宋体"/>
                <w:i w:val="0"/>
                <w:iCs w:val="0"/>
                <w:color w:val="auto"/>
                <w:kern w:val="2"/>
                <w:sz w:val="21"/>
                <w:szCs w:val="21"/>
                <w:u w:val="none"/>
                <w:lang w:val="en-US" w:eastAsia="zh-CN" w:bidi="ar-SA"/>
              </w:rPr>
              <w:br w:type="textWrapping"/>
            </w:r>
            <w:r>
              <w:rPr>
                <w:rFonts w:hint="eastAsia" w:ascii="宋体" w:hAnsi="宋体" w:eastAsia="宋体" w:cs="宋体"/>
                <w:i w:val="0"/>
                <w:iCs w:val="0"/>
                <w:color w:val="auto"/>
                <w:kern w:val="2"/>
                <w:sz w:val="21"/>
                <w:szCs w:val="21"/>
                <w:highlight w:val="none"/>
                <w:u w:val="none"/>
                <w:lang w:val="en-US" w:eastAsia="zh-CN" w:bidi="ar-SA"/>
              </w:rPr>
              <w:t>提供整机照片及信号接口的实物照片证明材料。</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color w:val="auto"/>
                <w:sz w:val="21"/>
                <w:szCs w:val="21"/>
                <w:highlight w:val="none"/>
              </w:rPr>
            </w:pPr>
          </w:p>
        </w:tc>
        <w:tc>
          <w:tcPr>
            <w:tcW w:w="397" w:type="pct"/>
            <w:noWrap w:val="0"/>
            <w:vAlign w:val="center"/>
          </w:tcPr>
          <w:p>
            <w:pPr>
              <w:keepNext w:val="0"/>
              <w:keepLines w:val="0"/>
              <w:widowControl/>
              <w:numPr>
                <w:ilvl w:val="0"/>
                <w:numId w:val="1"/>
              </w:numPr>
              <w:suppressLineNumbers w:val="0"/>
              <w:spacing w:line="240" w:lineRule="auto"/>
              <w:ind w:left="425" w:leftChars="0" w:hanging="425" w:firstLineChars="0"/>
              <w:jc w:val="center"/>
              <w:textAlignment w:val="center"/>
              <w:rPr>
                <w:color w:val="auto"/>
                <w:sz w:val="21"/>
                <w:szCs w:val="21"/>
                <w:highlight w:val="none"/>
              </w:rPr>
            </w:pPr>
          </w:p>
        </w:tc>
        <w:tc>
          <w:tcPr>
            <w:tcW w:w="439" w:type="pct"/>
            <w:noWrap w:val="0"/>
            <w:vAlign w:val="center"/>
          </w:tcPr>
          <w:p>
            <w:pPr>
              <w:keepNext w:val="0"/>
              <w:keepLines w:val="0"/>
              <w:widowControl/>
              <w:suppressLineNumbers w:val="0"/>
              <w:spacing w:line="240" w:lineRule="auto"/>
              <w:jc w:val="center"/>
              <w:textAlignment w:val="center"/>
              <w:rPr>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USB接口</w:t>
            </w:r>
          </w:p>
        </w:tc>
        <w:tc>
          <w:tcPr>
            <w:tcW w:w="1817" w:type="pct"/>
            <w:noWrap w:val="0"/>
            <w:vAlign w:val="center"/>
          </w:tcPr>
          <w:p>
            <w:pPr>
              <w:keepNext w:val="0"/>
              <w:keepLines w:val="0"/>
              <w:widowControl/>
              <w:suppressLineNumbers w:val="0"/>
              <w:spacing w:line="240" w:lineRule="auto"/>
              <w:jc w:val="both"/>
              <w:textAlignment w:val="center"/>
              <w:rPr>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USB≥8</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color w:val="auto"/>
                <w:sz w:val="21"/>
                <w:szCs w:val="21"/>
                <w:highlight w:val="none"/>
              </w:rPr>
            </w:pPr>
          </w:p>
        </w:tc>
        <w:tc>
          <w:tcPr>
            <w:tcW w:w="397" w:type="pct"/>
            <w:noWrap w:val="0"/>
            <w:vAlign w:val="center"/>
          </w:tcPr>
          <w:p>
            <w:pPr>
              <w:keepNext w:val="0"/>
              <w:keepLines w:val="0"/>
              <w:widowControl/>
              <w:numPr>
                <w:ilvl w:val="0"/>
                <w:numId w:val="1"/>
              </w:numPr>
              <w:suppressLineNumbers w:val="0"/>
              <w:spacing w:line="240" w:lineRule="auto"/>
              <w:ind w:left="425" w:leftChars="0" w:hanging="425" w:firstLineChars="0"/>
              <w:jc w:val="center"/>
              <w:textAlignment w:val="center"/>
              <w:rPr>
                <w:color w:val="auto"/>
                <w:sz w:val="21"/>
                <w:szCs w:val="21"/>
                <w:highlight w:val="none"/>
              </w:rPr>
            </w:pPr>
          </w:p>
        </w:tc>
        <w:tc>
          <w:tcPr>
            <w:tcW w:w="439" w:type="pct"/>
            <w:noWrap w:val="0"/>
            <w:vAlign w:val="center"/>
          </w:tcPr>
          <w:p>
            <w:pPr>
              <w:keepNext w:val="0"/>
              <w:keepLines w:val="0"/>
              <w:widowControl/>
              <w:suppressLineNumbers w:val="0"/>
              <w:spacing w:line="240" w:lineRule="auto"/>
              <w:jc w:val="center"/>
              <w:textAlignment w:val="center"/>
              <w:rPr>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亮度恒定技术</w:t>
            </w:r>
          </w:p>
        </w:tc>
        <w:tc>
          <w:tcPr>
            <w:tcW w:w="1817" w:type="pct"/>
            <w:noWrap w:val="0"/>
            <w:vAlign w:val="center"/>
          </w:tcPr>
          <w:p>
            <w:pPr>
              <w:keepNext w:val="0"/>
              <w:keepLines w:val="0"/>
              <w:widowControl/>
              <w:suppressLineNumbers w:val="0"/>
              <w:spacing w:line="240" w:lineRule="auto"/>
              <w:jc w:val="both"/>
              <w:textAlignment w:val="center"/>
              <w:rPr>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内置背光传感器监测背光亮度保证背光稳定</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color w:val="auto"/>
                <w:sz w:val="21"/>
                <w:szCs w:val="21"/>
                <w:highlight w:val="none"/>
              </w:rPr>
            </w:pPr>
          </w:p>
        </w:tc>
        <w:tc>
          <w:tcPr>
            <w:tcW w:w="397" w:type="pct"/>
            <w:noWrap w:val="0"/>
            <w:vAlign w:val="center"/>
          </w:tcPr>
          <w:p>
            <w:pPr>
              <w:keepNext w:val="0"/>
              <w:keepLines w:val="0"/>
              <w:widowControl/>
              <w:numPr>
                <w:ilvl w:val="0"/>
                <w:numId w:val="1"/>
              </w:numPr>
              <w:suppressLineNumbers w:val="0"/>
              <w:spacing w:line="240" w:lineRule="auto"/>
              <w:ind w:left="425" w:leftChars="0" w:hanging="425" w:firstLineChars="0"/>
              <w:jc w:val="center"/>
              <w:textAlignment w:val="center"/>
              <w:rPr>
                <w:color w:val="auto"/>
                <w:sz w:val="21"/>
                <w:szCs w:val="21"/>
                <w:highlight w:val="none"/>
              </w:rPr>
            </w:pPr>
          </w:p>
        </w:tc>
        <w:tc>
          <w:tcPr>
            <w:tcW w:w="439" w:type="pct"/>
            <w:noWrap w:val="0"/>
            <w:vAlign w:val="center"/>
          </w:tcPr>
          <w:p>
            <w:pPr>
              <w:keepNext w:val="0"/>
              <w:keepLines w:val="0"/>
              <w:widowControl/>
              <w:suppressLineNumbers w:val="0"/>
              <w:spacing w:line="240" w:lineRule="auto"/>
              <w:jc w:val="center"/>
              <w:textAlignment w:val="center"/>
              <w:rPr>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电源开关</w:t>
            </w:r>
          </w:p>
        </w:tc>
        <w:tc>
          <w:tcPr>
            <w:tcW w:w="1817" w:type="pct"/>
            <w:noWrap w:val="0"/>
            <w:vAlign w:val="center"/>
          </w:tcPr>
          <w:p>
            <w:pPr>
              <w:keepNext w:val="0"/>
              <w:keepLines w:val="0"/>
              <w:widowControl/>
              <w:suppressLineNumbers w:val="0"/>
              <w:spacing w:line="240" w:lineRule="auto"/>
              <w:jc w:val="both"/>
              <w:textAlignment w:val="center"/>
              <w:rPr>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具备船型电源开关，可完全断开显示器供电</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color w:val="auto"/>
                <w:sz w:val="21"/>
                <w:szCs w:val="21"/>
                <w:highlight w:val="none"/>
              </w:rPr>
            </w:pPr>
          </w:p>
        </w:tc>
        <w:tc>
          <w:tcPr>
            <w:tcW w:w="397" w:type="pct"/>
            <w:noWrap w:val="0"/>
            <w:vAlign w:val="center"/>
          </w:tcPr>
          <w:p>
            <w:pPr>
              <w:keepNext w:val="0"/>
              <w:keepLines w:val="0"/>
              <w:widowControl/>
              <w:numPr>
                <w:ilvl w:val="0"/>
                <w:numId w:val="1"/>
              </w:numPr>
              <w:suppressLineNumbers w:val="0"/>
              <w:spacing w:line="240" w:lineRule="auto"/>
              <w:ind w:left="425" w:leftChars="0" w:hanging="425" w:firstLineChars="0"/>
              <w:jc w:val="center"/>
              <w:textAlignment w:val="center"/>
              <w:rPr>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w:t>
            </w:r>
          </w:p>
        </w:tc>
        <w:tc>
          <w:tcPr>
            <w:tcW w:w="439" w:type="pct"/>
            <w:noWrap w:val="0"/>
            <w:vAlign w:val="center"/>
          </w:tcPr>
          <w:p>
            <w:pPr>
              <w:keepNext w:val="0"/>
              <w:keepLines w:val="0"/>
              <w:widowControl/>
              <w:suppressLineNumbers w:val="0"/>
              <w:spacing w:line="240" w:lineRule="auto"/>
              <w:jc w:val="center"/>
              <w:textAlignment w:val="center"/>
              <w:rPr>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双系统</w:t>
            </w:r>
          </w:p>
        </w:tc>
        <w:tc>
          <w:tcPr>
            <w:tcW w:w="1817" w:type="pct"/>
            <w:noWrap w:val="0"/>
            <w:vAlign w:val="center"/>
          </w:tcPr>
          <w:p>
            <w:pPr>
              <w:keepNext w:val="0"/>
              <w:keepLines w:val="0"/>
              <w:widowControl/>
              <w:suppressLineNumbers w:val="0"/>
              <w:spacing w:line="240" w:lineRule="auto"/>
              <w:jc w:val="both"/>
              <w:textAlignment w:val="center"/>
              <w:rPr>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内置Android9.0系统(Quad-core A55架构，CPU</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i w:val="0"/>
                <w:iCs w:val="0"/>
                <w:color w:val="auto"/>
                <w:kern w:val="0"/>
                <w:sz w:val="21"/>
                <w:szCs w:val="21"/>
                <w:u w:val="none"/>
                <w:lang w:val="en-US" w:eastAsia="zh-CN" w:bidi="ar"/>
              </w:rPr>
              <w:t>4核，</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i w:val="0"/>
                <w:iCs w:val="0"/>
                <w:color w:val="auto"/>
                <w:kern w:val="0"/>
                <w:sz w:val="21"/>
                <w:szCs w:val="21"/>
                <w:u w:val="none"/>
                <w:lang w:val="en-US" w:eastAsia="zh-CN" w:bidi="ar"/>
              </w:rPr>
              <w:t>1.5GHz，内存</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i w:val="0"/>
                <w:iCs w:val="0"/>
                <w:color w:val="auto"/>
                <w:kern w:val="0"/>
                <w:sz w:val="21"/>
                <w:szCs w:val="21"/>
                <w:u w:val="none"/>
                <w:lang w:val="en-US" w:eastAsia="zh-CN" w:bidi="ar"/>
              </w:rPr>
              <w:t>3G+硬盘</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i w:val="0"/>
                <w:iCs w:val="0"/>
                <w:color w:val="auto"/>
                <w:kern w:val="0"/>
                <w:sz w:val="21"/>
                <w:szCs w:val="21"/>
                <w:u w:val="none"/>
                <w:lang w:val="en-US" w:eastAsia="zh-CN" w:bidi="ar"/>
              </w:rPr>
              <w:t>32G，所有UI界面分辨率为4K)+OPS（Windows）系统，一键开机，双系统同时启动，自由切换,支持同时联网和开放热点,千兆网卡，配WIFI天线</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color w:val="auto"/>
                <w:sz w:val="21"/>
                <w:szCs w:val="21"/>
                <w:highlight w:val="none"/>
              </w:rPr>
            </w:pPr>
          </w:p>
        </w:tc>
        <w:tc>
          <w:tcPr>
            <w:tcW w:w="397" w:type="pct"/>
            <w:noWrap w:val="0"/>
            <w:vAlign w:val="center"/>
          </w:tcPr>
          <w:p>
            <w:pPr>
              <w:keepNext w:val="0"/>
              <w:keepLines w:val="0"/>
              <w:widowControl/>
              <w:numPr>
                <w:ilvl w:val="0"/>
                <w:numId w:val="1"/>
              </w:numPr>
              <w:suppressLineNumbers w:val="0"/>
              <w:spacing w:line="240" w:lineRule="auto"/>
              <w:ind w:left="425" w:leftChars="0" w:hanging="425" w:firstLineChars="0"/>
              <w:jc w:val="center"/>
              <w:textAlignment w:val="center"/>
              <w:rPr>
                <w:color w:val="auto"/>
                <w:sz w:val="21"/>
                <w:szCs w:val="21"/>
                <w:highlight w:val="none"/>
              </w:rPr>
            </w:pPr>
          </w:p>
        </w:tc>
        <w:tc>
          <w:tcPr>
            <w:tcW w:w="439" w:type="pct"/>
            <w:noWrap w:val="0"/>
            <w:vAlign w:val="center"/>
          </w:tcPr>
          <w:p>
            <w:pPr>
              <w:keepNext w:val="0"/>
              <w:keepLines w:val="0"/>
              <w:widowControl/>
              <w:suppressLineNumbers w:val="0"/>
              <w:spacing w:line="240" w:lineRule="auto"/>
              <w:jc w:val="center"/>
              <w:textAlignment w:val="center"/>
              <w:rPr>
                <w:color w:val="auto"/>
                <w:sz w:val="21"/>
                <w:szCs w:val="21"/>
                <w:highlight w:val="none"/>
              </w:rPr>
            </w:pPr>
            <w:r>
              <w:rPr>
                <w:rFonts w:hint="eastAsia" w:ascii="宋体" w:hAnsi="宋体" w:eastAsia="宋体" w:cs="宋体"/>
                <w:color w:val="auto"/>
                <w:kern w:val="2"/>
                <w:sz w:val="21"/>
                <w:szCs w:val="21"/>
                <w:highlight w:val="none"/>
                <w:lang w:val="en-US" w:eastAsia="zh-CN" w:bidi="ar-SA"/>
              </w:rPr>
              <w:t>OPS系统</w:t>
            </w:r>
          </w:p>
        </w:tc>
        <w:tc>
          <w:tcPr>
            <w:tcW w:w="1817" w:type="pct"/>
            <w:noWrap w:val="0"/>
            <w:vAlign w:val="center"/>
          </w:tcPr>
          <w:p>
            <w:pPr>
              <w:keepNext w:val="0"/>
              <w:keepLines w:val="0"/>
              <w:widowControl/>
              <w:suppressLineNumbers w:val="0"/>
              <w:spacing w:line="240" w:lineRule="auto"/>
              <w:jc w:val="both"/>
              <w:textAlignment w:val="center"/>
              <w:rPr>
                <w:color w:val="auto"/>
                <w:sz w:val="21"/>
                <w:szCs w:val="21"/>
                <w:highlight w:val="none"/>
              </w:rPr>
            </w:pPr>
            <w:r>
              <w:rPr>
                <w:rFonts w:hint="eastAsia" w:ascii="宋体" w:hAnsi="宋体" w:eastAsia="宋体" w:cs="宋体"/>
                <w:color w:val="auto"/>
                <w:kern w:val="2"/>
                <w:sz w:val="21"/>
                <w:szCs w:val="21"/>
                <w:highlight w:val="none"/>
                <w:lang w:val="en-US" w:eastAsia="zh-CN" w:bidi="ar-SA"/>
              </w:rPr>
              <w:t>Intel CPU≥i5，内存≥4G，SSD固态硬盘≥128G，千兆网卡，蓝牙4.0，4K输入，Windows 10 系统</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color w:val="auto"/>
                <w:sz w:val="21"/>
                <w:szCs w:val="21"/>
                <w:highlight w:val="none"/>
              </w:rPr>
            </w:pPr>
          </w:p>
        </w:tc>
        <w:tc>
          <w:tcPr>
            <w:tcW w:w="397" w:type="pct"/>
            <w:noWrap w:val="0"/>
            <w:vAlign w:val="center"/>
          </w:tcPr>
          <w:p>
            <w:pPr>
              <w:keepNext w:val="0"/>
              <w:keepLines w:val="0"/>
              <w:widowControl/>
              <w:numPr>
                <w:ilvl w:val="0"/>
                <w:numId w:val="1"/>
              </w:numPr>
              <w:suppressLineNumbers w:val="0"/>
              <w:spacing w:line="240" w:lineRule="auto"/>
              <w:ind w:left="425" w:leftChars="0" w:hanging="425" w:firstLineChars="0"/>
              <w:jc w:val="center"/>
              <w:textAlignment w:val="center"/>
              <w:rPr>
                <w:color w:val="auto"/>
                <w:sz w:val="21"/>
                <w:szCs w:val="21"/>
                <w:highlight w:val="none"/>
              </w:rPr>
            </w:pPr>
          </w:p>
        </w:tc>
        <w:tc>
          <w:tcPr>
            <w:tcW w:w="439" w:type="pct"/>
            <w:noWrap w:val="0"/>
            <w:vAlign w:val="center"/>
          </w:tcPr>
          <w:p>
            <w:pPr>
              <w:keepNext w:val="0"/>
              <w:keepLines w:val="0"/>
              <w:widowControl/>
              <w:suppressLineNumbers w:val="0"/>
              <w:spacing w:line="240" w:lineRule="auto"/>
              <w:jc w:val="center"/>
              <w:textAlignment w:val="center"/>
              <w:rPr>
                <w:color w:val="auto"/>
                <w:sz w:val="21"/>
                <w:szCs w:val="21"/>
                <w:highlight w:val="none"/>
              </w:rPr>
            </w:pPr>
            <w:r>
              <w:rPr>
                <w:rFonts w:hint="eastAsia" w:ascii="宋体" w:hAnsi="宋体" w:eastAsia="宋体" w:cs="宋体"/>
                <w:color w:val="auto"/>
                <w:sz w:val="21"/>
                <w:szCs w:val="21"/>
                <w:highlight w:val="none"/>
              </w:rPr>
              <w:t>遥控控制</w:t>
            </w:r>
          </w:p>
        </w:tc>
        <w:tc>
          <w:tcPr>
            <w:tcW w:w="1817" w:type="pct"/>
            <w:noWrap w:val="0"/>
            <w:vAlign w:val="center"/>
          </w:tcPr>
          <w:p>
            <w:pPr>
              <w:keepNext w:val="0"/>
              <w:keepLines w:val="0"/>
              <w:widowControl/>
              <w:suppressLineNumbers w:val="0"/>
              <w:spacing w:line="240" w:lineRule="auto"/>
              <w:jc w:val="both"/>
              <w:textAlignment w:val="center"/>
              <w:rPr>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具备遥控控制功能，支持远距离开关机，切换信号，音频开关，音频通道调节，音量调节，音量开关等菜单操作功能</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color w:val="auto"/>
                <w:sz w:val="21"/>
                <w:szCs w:val="21"/>
                <w:highlight w:val="none"/>
              </w:rPr>
            </w:pPr>
          </w:p>
        </w:tc>
        <w:tc>
          <w:tcPr>
            <w:tcW w:w="397" w:type="pct"/>
            <w:noWrap w:val="0"/>
            <w:vAlign w:val="center"/>
          </w:tcPr>
          <w:p>
            <w:pPr>
              <w:keepNext w:val="0"/>
              <w:keepLines w:val="0"/>
              <w:widowControl/>
              <w:numPr>
                <w:ilvl w:val="0"/>
                <w:numId w:val="1"/>
              </w:numPr>
              <w:suppressLineNumbers w:val="0"/>
              <w:spacing w:line="240" w:lineRule="auto"/>
              <w:ind w:left="425" w:leftChars="0" w:hanging="425" w:firstLineChars="0"/>
              <w:jc w:val="center"/>
              <w:textAlignment w:val="center"/>
              <w:rPr>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w:t>
            </w:r>
          </w:p>
        </w:tc>
        <w:tc>
          <w:tcPr>
            <w:tcW w:w="439" w:type="pct"/>
            <w:noWrap w:val="0"/>
            <w:vAlign w:val="center"/>
          </w:tcPr>
          <w:p>
            <w:pPr>
              <w:keepNext w:val="0"/>
              <w:keepLines w:val="0"/>
              <w:widowControl/>
              <w:suppressLineNumbers w:val="0"/>
              <w:spacing w:line="240" w:lineRule="auto"/>
              <w:jc w:val="center"/>
              <w:textAlignment w:val="center"/>
              <w:rPr>
                <w:color w:val="auto"/>
                <w:sz w:val="21"/>
                <w:szCs w:val="21"/>
                <w:highlight w:val="none"/>
              </w:rPr>
            </w:pPr>
            <w:r>
              <w:rPr>
                <w:rFonts w:hint="eastAsia" w:ascii="宋体" w:hAnsi="宋体" w:eastAsia="宋体" w:cs="宋体"/>
                <w:color w:val="auto"/>
                <w:sz w:val="21"/>
                <w:szCs w:val="21"/>
                <w:highlight w:val="none"/>
              </w:rPr>
              <w:t>低反射表面处理</w:t>
            </w:r>
          </w:p>
        </w:tc>
        <w:tc>
          <w:tcPr>
            <w:tcW w:w="1817" w:type="pct"/>
            <w:noWrap w:val="0"/>
            <w:vAlign w:val="center"/>
          </w:tcPr>
          <w:p>
            <w:pPr>
              <w:keepNext w:val="0"/>
              <w:keepLines w:val="0"/>
              <w:widowControl/>
              <w:suppressLineNumbers w:val="0"/>
              <w:spacing w:line="240" w:lineRule="auto"/>
              <w:jc w:val="both"/>
              <w:textAlignment w:val="center"/>
              <w:rPr>
                <w:color w:val="auto"/>
                <w:sz w:val="21"/>
                <w:szCs w:val="21"/>
                <w:highlight w:val="none"/>
              </w:rPr>
            </w:pPr>
            <w:r>
              <w:rPr>
                <w:rFonts w:hint="eastAsia" w:ascii="宋体" w:hAnsi="宋体" w:eastAsia="宋体" w:cs="宋体"/>
                <w:color w:val="auto"/>
                <w:sz w:val="21"/>
                <w:szCs w:val="21"/>
                <w:highlight w:val="none"/>
                <w:lang w:val="en-US" w:eastAsia="zh-CN"/>
              </w:rPr>
              <w:t>医用专业双面各4层减反射玻璃，避免显示器在严苛的条件下被损伤（检测方法：用8H铅笔以250克压力，镀膜面上来回50次滑动，频率：10 次/min，镀膜面无损伤），防眩，高透光率≥98%，反射光率≤1%(波长400-700nm)，方便清洁消毒，提高耐用性。（提供第三方检测机构的检测报告复印件，原件备查）</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color w:val="auto"/>
                <w:sz w:val="21"/>
                <w:szCs w:val="21"/>
                <w:highlight w:val="none"/>
              </w:rPr>
            </w:pPr>
          </w:p>
        </w:tc>
        <w:tc>
          <w:tcPr>
            <w:tcW w:w="397" w:type="pct"/>
            <w:noWrap w:val="0"/>
            <w:vAlign w:val="center"/>
          </w:tcPr>
          <w:p>
            <w:pPr>
              <w:keepNext w:val="0"/>
              <w:keepLines w:val="0"/>
              <w:widowControl/>
              <w:numPr>
                <w:ilvl w:val="0"/>
                <w:numId w:val="1"/>
              </w:numPr>
              <w:suppressLineNumbers w:val="0"/>
              <w:spacing w:line="240" w:lineRule="auto"/>
              <w:ind w:left="425" w:leftChars="0" w:hanging="425" w:firstLineChars="0"/>
              <w:jc w:val="center"/>
              <w:textAlignment w:val="center"/>
              <w:rPr>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w:t>
            </w:r>
          </w:p>
        </w:tc>
        <w:tc>
          <w:tcPr>
            <w:tcW w:w="439" w:type="pct"/>
            <w:noWrap w:val="0"/>
            <w:vAlign w:val="center"/>
          </w:tcPr>
          <w:p>
            <w:pPr>
              <w:keepNext w:val="0"/>
              <w:keepLines w:val="0"/>
              <w:widowControl/>
              <w:suppressLineNumbers w:val="0"/>
              <w:spacing w:line="240" w:lineRule="auto"/>
              <w:jc w:val="center"/>
              <w:textAlignment w:val="center"/>
              <w:rPr>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移动结构</w:t>
            </w:r>
          </w:p>
        </w:tc>
        <w:tc>
          <w:tcPr>
            <w:tcW w:w="1817" w:type="pct"/>
            <w:noWrap w:val="0"/>
            <w:vAlign w:val="center"/>
          </w:tcPr>
          <w:p>
            <w:pPr>
              <w:keepNext w:val="0"/>
              <w:keepLines w:val="0"/>
              <w:widowControl/>
              <w:suppressLineNumbers w:val="0"/>
              <w:spacing w:line="240" w:lineRule="auto"/>
              <w:jc w:val="both"/>
              <w:textAlignment w:val="center"/>
              <w:rPr>
                <w:color w:val="auto"/>
                <w:sz w:val="21"/>
                <w:szCs w:val="21"/>
                <w:highlight w:val="none"/>
              </w:rPr>
            </w:pPr>
            <w:r>
              <w:rPr>
                <w:rFonts w:hint="eastAsia" w:ascii="宋体" w:hAnsi="宋体" w:eastAsia="宋体" w:cs="宋体"/>
                <w:color w:val="auto"/>
                <w:sz w:val="21"/>
                <w:szCs w:val="21"/>
                <w:highlight w:val="none"/>
                <w:lang w:val="en-US" w:eastAsia="zh-CN"/>
              </w:rPr>
              <w:t>人体工学专业一体化设计，一体式移动底座方便移动，脚轮符合RoHS认证（提供第三方检测机构的检测报告复印件，原件备查），脚轮需达 5000 次刹制寿命，刹制功能保持正常，全方位解决移动要求</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color w:val="auto"/>
                <w:sz w:val="21"/>
                <w:szCs w:val="21"/>
                <w:highlight w:val="none"/>
              </w:rPr>
            </w:pPr>
          </w:p>
        </w:tc>
        <w:tc>
          <w:tcPr>
            <w:tcW w:w="397" w:type="pct"/>
            <w:noWrap w:val="0"/>
            <w:vAlign w:val="center"/>
          </w:tcPr>
          <w:p>
            <w:pPr>
              <w:keepNext w:val="0"/>
              <w:keepLines w:val="0"/>
              <w:widowControl/>
              <w:numPr>
                <w:ilvl w:val="0"/>
                <w:numId w:val="1"/>
              </w:numPr>
              <w:suppressLineNumbers w:val="0"/>
              <w:spacing w:line="240" w:lineRule="auto"/>
              <w:ind w:left="425" w:leftChars="0" w:hanging="425" w:firstLineChars="0"/>
              <w:jc w:val="center"/>
              <w:textAlignment w:val="center"/>
              <w:rPr>
                <w:color w:val="auto"/>
                <w:sz w:val="21"/>
                <w:szCs w:val="21"/>
                <w:highlight w:val="none"/>
              </w:rPr>
            </w:pPr>
          </w:p>
        </w:tc>
        <w:tc>
          <w:tcPr>
            <w:tcW w:w="439" w:type="pct"/>
            <w:noWrap w:val="0"/>
            <w:vAlign w:val="center"/>
          </w:tcPr>
          <w:p>
            <w:pPr>
              <w:keepNext w:val="0"/>
              <w:keepLines w:val="0"/>
              <w:widowControl/>
              <w:suppressLineNumbers w:val="0"/>
              <w:spacing w:line="240" w:lineRule="auto"/>
              <w:jc w:val="center"/>
              <w:textAlignment w:val="center"/>
              <w:rPr>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制造商能力及质量系统</w:t>
            </w:r>
          </w:p>
        </w:tc>
        <w:tc>
          <w:tcPr>
            <w:tcW w:w="1817" w:type="pct"/>
            <w:noWrap w:val="0"/>
            <w:vAlign w:val="center"/>
          </w:tcPr>
          <w:p>
            <w:pPr>
              <w:keepNext w:val="0"/>
              <w:keepLines w:val="0"/>
              <w:widowControl/>
              <w:suppressLineNumbers w:val="0"/>
              <w:spacing w:line="240" w:lineRule="auto"/>
              <w:jc w:val="both"/>
              <w:textAlignment w:val="center"/>
              <w:rPr>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生产厂家具备ISO9001、ISO13485、ISO14001、ISO45001体系证书，具备高新技术企业证书</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color w:val="auto"/>
                <w:sz w:val="21"/>
                <w:szCs w:val="21"/>
                <w:highlight w:val="none"/>
              </w:rPr>
            </w:pPr>
          </w:p>
        </w:tc>
        <w:tc>
          <w:tcPr>
            <w:tcW w:w="397" w:type="pct"/>
            <w:noWrap w:val="0"/>
            <w:vAlign w:val="center"/>
          </w:tcPr>
          <w:p>
            <w:pPr>
              <w:keepNext w:val="0"/>
              <w:keepLines w:val="0"/>
              <w:widowControl/>
              <w:numPr>
                <w:ilvl w:val="0"/>
                <w:numId w:val="1"/>
              </w:numPr>
              <w:suppressLineNumbers w:val="0"/>
              <w:spacing w:line="240" w:lineRule="auto"/>
              <w:ind w:left="425" w:leftChars="0" w:hanging="425" w:firstLineChars="0"/>
              <w:jc w:val="center"/>
              <w:textAlignment w:val="center"/>
              <w:rPr>
                <w:color w:val="auto"/>
                <w:sz w:val="21"/>
                <w:szCs w:val="21"/>
                <w:highlight w:val="none"/>
              </w:rPr>
            </w:pPr>
          </w:p>
        </w:tc>
        <w:tc>
          <w:tcPr>
            <w:tcW w:w="439" w:type="pct"/>
            <w:noWrap w:val="0"/>
            <w:vAlign w:val="center"/>
          </w:tcPr>
          <w:p>
            <w:pPr>
              <w:keepNext w:val="0"/>
              <w:keepLines w:val="0"/>
              <w:widowControl/>
              <w:suppressLineNumbers w:val="0"/>
              <w:spacing w:line="240" w:lineRule="auto"/>
              <w:jc w:val="center"/>
              <w:textAlignment w:val="center"/>
              <w:rPr>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产品认证</w:t>
            </w:r>
          </w:p>
        </w:tc>
        <w:tc>
          <w:tcPr>
            <w:tcW w:w="1817" w:type="pct"/>
            <w:noWrap w:val="0"/>
            <w:vAlign w:val="center"/>
          </w:tcPr>
          <w:p>
            <w:pPr>
              <w:keepNext w:val="0"/>
              <w:keepLines w:val="0"/>
              <w:widowControl/>
              <w:suppressLineNumbers w:val="0"/>
              <w:spacing w:line="240" w:lineRule="auto"/>
              <w:jc w:val="both"/>
              <w:textAlignment w:val="center"/>
              <w:rPr>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产品取得CCC认证</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rFonts w:hint="eastAsia" w:eastAsia="宋体"/>
                <w:color w:val="auto"/>
                <w:sz w:val="21"/>
                <w:szCs w:val="21"/>
                <w:highlight w:val="none"/>
                <w:lang w:eastAsia="zh-CN"/>
              </w:rPr>
            </w:pPr>
          </w:p>
        </w:tc>
        <w:tc>
          <w:tcPr>
            <w:tcW w:w="397" w:type="pct"/>
            <w:noWrap w:val="0"/>
            <w:vAlign w:val="center"/>
          </w:tcPr>
          <w:p>
            <w:pPr>
              <w:numPr>
                <w:ilvl w:val="0"/>
                <w:numId w:val="1"/>
              </w:numPr>
              <w:spacing w:line="320" w:lineRule="exact"/>
              <w:ind w:left="425" w:leftChars="0" w:hanging="425" w:firstLineChars="0"/>
              <w:jc w:val="both"/>
              <w:rPr>
                <w:rFonts w:hint="eastAsia" w:eastAsia="宋体"/>
                <w:color w:val="auto"/>
                <w:sz w:val="21"/>
                <w:szCs w:val="21"/>
                <w:highlight w:val="none"/>
                <w:lang w:eastAsia="zh-CN"/>
              </w:rPr>
            </w:pPr>
            <w:r>
              <w:rPr>
                <w:rFonts w:hint="eastAsia" w:ascii="宋体" w:hAnsi="宋体" w:eastAsia="宋体" w:cs="宋体"/>
                <w:i w:val="0"/>
                <w:iCs w:val="0"/>
                <w:color w:val="000000"/>
                <w:kern w:val="0"/>
                <w:sz w:val="21"/>
                <w:szCs w:val="21"/>
                <w:u w:val="none"/>
                <w:lang w:val="en-US" w:eastAsia="zh-CN" w:bidi="ar"/>
              </w:rPr>
              <w:t>▲</w:t>
            </w:r>
          </w:p>
        </w:tc>
        <w:tc>
          <w:tcPr>
            <w:tcW w:w="439" w:type="pct"/>
            <w:noWrap w:val="0"/>
            <w:vAlign w:val="center"/>
          </w:tcPr>
          <w:p>
            <w:pPr>
              <w:spacing w:line="320" w:lineRule="exact"/>
              <w:jc w:val="left"/>
              <w:rPr>
                <w:color w:val="auto"/>
                <w:sz w:val="21"/>
                <w:szCs w:val="21"/>
                <w:highlight w:val="none"/>
              </w:rPr>
            </w:pPr>
            <w:r>
              <w:rPr>
                <w:rFonts w:hint="eastAsia" w:ascii="宋体" w:hAnsi="宋体" w:eastAsia="宋体" w:cs="宋体"/>
                <w:color w:val="000000"/>
                <w:sz w:val="21"/>
                <w:szCs w:val="21"/>
                <w:lang w:val="en-US" w:eastAsia="zh-CN"/>
              </w:rPr>
              <w:t>临床办公影像专显系统</w:t>
            </w:r>
          </w:p>
        </w:tc>
        <w:tc>
          <w:tcPr>
            <w:tcW w:w="1817" w:type="pct"/>
            <w:noWrap w:val="0"/>
            <w:vAlign w:val="center"/>
          </w:tcPr>
          <w:p>
            <w:pPr>
              <w:spacing w:line="320" w:lineRule="exact"/>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分辨率≥1920×1080，像素大小0.2745mm，对比度≥1000:1 ，亮度≥300 cd/m2，支持按键一键切换内外网</w:t>
            </w:r>
            <w:r>
              <w:rPr>
                <w:rFonts w:hint="eastAsia" w:ascii="宋体" w:hAnsi="宋体" w:eastAsia="宋体" w:cs="宋体"/>
                <w:color w:val="auto"/>
                <w:sz w:val="21"/>
                <w:szCs w:val="21"/>
                <w:lang w:eastAsia="zh-CN"/>
              </w:rPr>
              <w:t>；支持对云影像二维码扫描功能；</w:t>
            </w:r>
            <w:r>
              <w:rPr>
                <w:rFonts w:hint="eastAsia" w:ascii="宋体" w:hAnsi="宋体" w:eastAsia="宋体" w:cs="宋体"/>
                <w:color w:val="auto"/>
                <w:sz w:val="21"/>
                <w:szCs w:val="21"/>
                <w:lang w:val="en-US" w:eastAsia="zh-CN"/>
              </w:rPr>
              <w:t>支持</w:t>
            </w:r>
            <w:r>
              <w:rPr>
                <w:rFonts w:hint="eastAsia" w:ascii="宋体" w:hAnsi="宋体" w:eastAsia="宋体" w:cs="宋体"/>
                <w:color w:val="auto"/>
                <w:sz w:val="21"/>
                <w:szCs w:val="21"/>
                <w:lang w:eastAsia="zh-CN"/>
              </w:rPr>
              <w:t>鼠标键盘自适应</w:t>
            </w:r>
            <w:r>
              <w:rPr>
                <w:rFonts w:hint="eastAsia" w:ascii="宋体" w:hAnsi="宋体" w:eastAsia="宋体" w:cs="宋体"/>
                <w:color w:val="auto"/>
                <w:sz w:val="21"/>
                <w:szCs w:val="21"/>
                <w:lang w:val="en-US" w:eastAsia="zh-CN"/>
              </w:rPr>
              <w:t>功能；内置重力感应传感器。支持横竖屏切换后，画面自适应旋转；产品取得CCC，节能认证，提供证明文件</w:t>
            </w:r>
          </w:p>
          <w:p>
            <w:pPr>
              <w:spacing w:line="320" w:lineRule="exact"/>
              <w:jc w:val="left"/>
              <w:rPr>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为使图像显示稳定，产品需与86"临床教学显示中心为同一品牌</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restart"/>
            <w:noWrap w:val="0"/>
            <w:vAlign w:val="center"/>
          </w:tcPr>
          <w:p>
            <w:pPr>
              <w:spacing w:line="360" w:lineRule="auto"/>
              <w:jc w:val="center"/>
              <w:rPr>
                <w:rFonts w:hint="eastAsia" w:eastAsia="宋体"/>
                <w:color w:val="auto"/>
                <w:sz w:val="21"/>
                <w:szCs w:val="21"/>
                <w:highlight w:val="none"/>
                <w:lang w:eastAsia="zh-CN"/>
              </w:rPr>
            </w:pPr>
            <w:r>
              <w:rPr>
                <w:rFonts w:hint="eastAsia" w:ascii="宋体" w:hAnsi="宋体" w:eastAsia="宋体" w:cs="宋体"/>
                <w:sz w:val="21"/>
                <w:szCs w:val="21"/>
                <w:lang w:val="en-US" w:eastAsia="zh-CN"/>
              </w:rPr>
              <w:t>8MP彩色医用显示器</w:t>
            </w:r>
          </w:p>
        </w:tc>
        <w:tc>
          <w:tcPr>
            <w:tcW w:w="397" w:type="pct"/>
            <w:noWrap w:val="0"/>
            <w:vAlign w:val="center"/>
          </w:tcPr>
          <w:p>
            <w:pPr>
              <w:numPr>
                <w:ilvl w:val="0"/>
                <w:numId w:val="2"/>
              </w:numPr>
              <w:spacing w:line="320" w:lineRule="exact"/>
              <w:ind w:left="420" w:leftChars="0" w:hanging="420" w:firstLineChars="0"/>
              <w:jc w:val="both"/>
              <w:rPr>
                <w:rFonts w:hint="eastAsia" w:ascii="宋体" w:hAnsi="宋体" w:eastAsia="宋体" w:cs="宋体"/>
                <w:i w:val="0"/>
                <w:iCs w:val="0"/>
                <w:color w:val="000000"/>
                <w:kern w:val="0"/>
                <w:sz w:val="21"/>
                <w:szCs w:val="21"/>
                <w:u w:val="none"/>
                <w:lang w:val="en-US" w:eastAsia="zh-CN" w:bidi="ar"/>
              </w:rPr>
            </w:pPr>
          </w:p>
        </w:tc>
        <w:tc>
          <w:tcPr>
            <w:tcW w:w="439" w:type="pct"/>
            <w:noWrap w:val="0"/>
            <w:vAlign w:val="center"/>
          </w:tcPr>
          <w:p>
            <w:pPr>
              <w:spacing w:line="320" w:lineRule="exact"/>
              <w:jc w:val="lef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highlight w:val="none"/>
              </w:rPr>
              <w:t>屏幕</w:t>
            </w:r>
            <w:r>
              <w:rPr>
                <w:rFonts w:hint="eastAsia" w:ascii="宋体" w:hAnsi="宋体" w:eastAsia="宋体" w:cs="宋体"/>
                <w:color w:val="000000"/>
                <w:sz w:val="21"/>
                <w:szCs w:val="21"/>
                <w:highlight w:val="none"/>
                <w:lang w:val="en-US" w:eastAsia="zh-CN"/>
              </w:rPr>
              <w:t>规格</w:t>
            </w:r>
          </w:p>
        </w:tc>
        <w:tc>
          <w:tcPr>
            <w:tcW w:w="1817" w:type="pct"/>
            <w:noWrap w:val="0"/>
            <w:vAlign w:val="center"/>
          </w:tcPr>
          <w:p>
            <w:pPr>
              <w:spacing w:line="320" w:lineRule="exact"/>
              <w:jc w:val="left"/>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000000"/>
                <w:sz w:val="21"/>
                <w:szCs w:val="21"/>
                <w:highlight w:val="none"/>
                <w:lang w:val="en-US" w:eastAsia="zh-CN"/>
              </w:rPr>
              <w:t>尺寸≥27英寸，</w:t>
            </w:r>
            <w:r>
              <w:rPr>
                <w:rFonts w:hint="eastAsia" w:ascii="宋体" w:hAnsi="宋体" w:eastAsia="宋体" w:cs="宋体"/>
                <w:color w:val="000000"/>
                <w:sz w:val="21"/>
                <w:szCs w:val="21"/>
                <w:highlight w:val="none"/>
              </w:rPr>
              <w:t>像素大</w:t>
            </w:r>
            <w:r>
              <w:rPr>
                <w:rFonts w:hint="eastAsia" w:ascii="宋体" w:hAnsi="宋体" w:eastAsia="宋体" w:cs="宋体"/>
                <w:color w:val="000000"/>
                <w:sz w:val="21"/>
                <w:szCs w:val="21"/>
                <w:highlight w:val="none"/>
                <w:lang w:eastAsia="zh-CN"/>
              </w:rPr>
              <w:t>小≤</w:t>
            </w:r>
            <w:r>
              <w:rPr>
                <w:rFonts w:hint="eastAsia" w:ascii="宋体" w:hAnsi="宋体" w:eastAsia="宋体" w:cs="宋体"/>
                <w:color w:val="000000"/>
                <w:sz w:val="21"/>
                <w:szCs w:val="21"/>
                <w:highlight w:val="none"/>
              </w:rPr>
              <w:t>0.1</w:t>
            </w:r>
            <w:r>
              <w:rPr>
                <w:rFonts w:hint="eastAsia" w:ascii="宋体" w:hAnsi="宋体" w:eastAsia="宋体" w:cs="宋体"/>
                <w:color w:val="000000"/>
                <w:sz w:val="21"/>
                <w:szCs w:val="21"/>
                <w:highlight w:val="none"/>
                <w:lang w:val="en-US" w:eastAsia="zh-CN"/>
              </w:rPr>
              <w:t>554</w:t>
            </w:r>
            <w:r>
              <w:rPr>
                <w:rFonts w:hint="eastAsia" w:ascii="宋体" w:hAnsi="宋体" w:eastAsia="宋体" w:cs="宋体"/>
                <w:color w:val="000000"/>
                <w:sz w:val="21"/>
                <w:szCs w:val="21"/>
                <w:highlight w:val="none"/>
              </w:rPr>
              <w:t xml:space="preserve"> mm</w:t>
            </w:r>
            <w:r>
              <w:rPr>
                <w:rFonts w:hint="eastAsia" w:ascii="宋体" w:hAnsi="宋体" w:eastAsia="宋体" w:cs="宋体"/>
                <w:color w:val="auto"/>
                <w:sz w:val="21"/>
                <w:szCs w:val="21"/>
                <w:highlight w:val="none"/>
                <w:lang w:eastAsia="zh-CN"/>
              </w:rPr>
              <w:t>，</w:t>
            </w:r>
            <w:r>
              <w:rPr>
                <w:rFonts w:hint="eastAsia" w:ascii="宋体" w:hAnsi="宋体" w:eastAsia="宋体" w:cs="宋体"/>
                <w:color w:val="000000"/>
                <w:sz w:val="21"/>
                <w:szCs w:val="21"/>
                <w:highlight w:val="none"/>
              </w:rPr>
              <w:t>对比度≥1</w:t>
            </w:r>
            <w:r>
              <w:rPr>
                <w:rFonts w:hint="eastAsia" w:ascii="宋体" w:hAnsi="宋体" w:eastAsia="宋体" w:cs="宋体"/>
                <w:color w:val="000000"/>
                <w:sz w:val="21"/>
                <w:szCs w:val="21"/>
                <w:highlight w:val="none"/>
                <w:lang w:val="en-US" w:eastAsia="zh-CN"/>
              </w:rPr>
              <w:t>00</w:t>
            </w:r>
            <w:r>
              <w:rPr>
                <w:rFonts w:hint="eastAsia" w:ascii="宋体" w:hAnsi="宋体" w:eastAsia="宋体" w:cs="宋体"/>
                <w:color w:val="000000"/>
                <w:sz w:val="21"/>
                <w:szCs w:val="21"/>
                <w:highlight w:val="none"/>
              </w:rPr>
              <w:t>0:1</w:t>
            </w:r>
            <w:r>
              <w:rPr>
                <w:rFonts w:hint="eastAsia" w:ascii="宋体" w:hAnsi="宋体" w:eastAsia="宋体" w:cs="宋体"/>
                <w:color w:val="000000"/>
                <w:sz w:val="21"/>
                <w:szCs w:val="21"/>
                <w:highlight w:val="none"/>
                <w:lang w:val="en-US" w:eastAsia="zh-CN"/>
              </w:rPr>
              <w:t>，</w:t>
            </w:r>
            <w:r>
              <w:rPr>
                <w:rFonts w:hint="eastAsia" w:ascii="宋体" w:hAnsi="宋体" w:eastAsia="宋体" w:cs="宋体"/>
                <w:color w:val="000000"/>
                <w:sz w:val="21"/>
                <w:szCs w:val="21"/>
                <w:highlight w:val="none"/>
              </w:rPr>
              <w:t>视角≥17</w:t>
            </w:r>
            <w:r>
              <w:rPr>
                <w:rFonts w:hint="eastAsia" w:ascii="宋体" w:hAnsi="宋体" w:eastAsia="宋体" w:cs="宋体"/>
                <w:color w:val="000000"/>
                <w:sz w:val="21"/>
                <w:szCs w:val="21"/>
                <w:highlight w:val="none"/>
                <w:lang w:val="en-US" w:eastAsia="zh-CN"/>
              </w:rPr>
              <w:t>8</w:t>
            </w:r>
            <w:r>
              <w:rPr>
                <w:rFonts w:hint="eastAsia" w:ascii="宋体" w:hAnsi="宋体" w:eastAsia="宋体" w:cs="宋体"/>
                <w:color w:val="000000"/>
                <w:sz w:val="21"/>
                <w:szCs w:val="21"/>
                <w:highlight w:val="none"/>
              </w:rPr>
              <w:sym w:font="Symbol" w:char="F0B0"/>
            </w:r>
            <w:r>
              <w:rPr>
                <w:rFonts w:hint="eastAsia" w:ascii="宋体" w:hAnsi="宋体" w:eastAsia="宋体" w:cs="宋体"/>
                <w:color w:val="000000"/>
                <w:sz w:val="21"/>
                <w:szCs w:val="21"/>
                <w:highlight w:val="none"/>
                <w:lang w:val="en-US" w:eastAsia="zh-CN"/>
              </w:rPr>
              <w:t>，</w:t>
            </w:r>
            <w:r>
              <w:rPr>
                <w:rFonts w:hint="eastAsia" w:ascii="宋体" w:hAnsi="宋体" w:eastAsia="宋体" w:cs="宋体"/>
                <w:color w:val="000000"/>
                <w:sz w:val="21"/>
                <w:szCs w:val="21"/>
                <w:highlight w:val="none"/>
              </w:rPr>
              <w:t>响应时间</w:t>
            </w:r>
            <w:r>
              <w:rPr>
                <w:rFonts w:hint="eastAsia" w:ascii="宋体" w:hAnsi="宋体" w:eastAsia="宋体" w:cs="宋体"/>
                <w:color w:val="000000"/>
                <w:sz w:val="21"/>
                <w:szCs w:val="21"/>
                <w:highlight w:val="none"/>
                <w:lang w:eastAsia="zh-CN"/>
              </w:rPr>
              <w:t>≤</w:t>
            </w:r>
            <w:r>
              <w:rPr>
                <w:rFonts w:hint="eastAsia" w:ascii="宋体" w:hAnsi="宋体" w:eastAsia="宋体" w:cs="宋体"/>
                <w:sz w:val="21"/>
                <w:szCs w:val="21"/>
                <w:highlight w:val="none"/>
                <w:lang w:val="en-US" w:eastAsia="zh-CN"/>
              </w:rPr>
              <w:t>16</w:t>
            </w:r>
            <w:r>
              <w:rPr>
                <w:rFonts w:hint="eastAsia" w:ascii="宋体" w:hAnsi="宋体" w:eastAsia="宋体" w:cs="宋体"/>
                <w:sz w:val="21"/>
                <w:szCs w:val="21"/>
                <w:highlight w:val="none"/>
              </w:rPr>
              <w:t>ms</w:t>
            </w:r>
            <w:r>
              <w:rPr>
                <w:rFonts w:hint="eastAsia" w:ascii="宋体" w:hAnsi="宋体" w:eastAsia="宋体" w:cs="宋体"/>
                <w:color w:val="auto"/>
                <w:sz w:val="21"/>
                <w:szCs w:val="21"/>
                <w:highlight w:val="none"/>
                <w:lang w:eastAsia="zh-CN"/>
              </w:rPr>
              <w:t>，</w:t>
            </w:r>
            <w:r>
              <w:rPr>
                <w:rFonts w:hint="eastAsia" w:ascii="宋体" w:hAnsi="宋体" w:eastAsia="宋体" w:cs="宋体"/>
                <w:color w:val="000000"/>
                <w:sz w:val="21"/>
                <w:szCs w:val="21"/>
                <w:highlight w:val="none"/>
                <w:lang w:val="en-US" w:eastAsia="zh-CN"/>
              </w:rPr>
              <w:t>支持色彩</w:t>
            </w:r>
            <w:r>
              <w:rPr>
                <w:rFonts w:hint="eastAsia" w:ascii="宋体" w:hAnsi="宋体" w:eastAsia="宋体" w:cs="宋体"/>
                <w:color w:val="000000"/>
                <w:sz w:val="21"/>
                <w:szCs w:val="21"/>
                <w:highlight w:val="none"/>
              </w:rPr>
              <w:t>≥10.7亿</w:t>
            </w:r>
            <w:r>
              <w:rPr>
                <w:rFonts w:hint="eastAsia" w:ascii="宋体" w:hAnsi="宋体" w:eastAsia="宋体" w:cs="宋体"/>
                <w:color w:val="000000"/>
                <w:sz w:val="21"/>
                <w:szCs w:val="21"/>
                <w:highlight w:val="none"/>
                <w:lang w:eastAsia="zh-CN"/>
              </w:rPr>
              <w:t>，</w:t>
            </w:r>
            <w:r>
              <w:rPr>
                <w:rFonts w:hint="eastAsia" w:ascii="宋体" w:hAnsi="宋体" w:eastAsia="宋体" w:cs="宋体"/>
                <w:color w:val="auto"/>
                <w:sz w:val="21"/>
                <w:szCs w:val="21"/>
                <w:highlight w:val="none"/>
              </w:rPr>
              <w:t>分辨率≥</w:t>
            </w:r>
            <w:r>
              <w:rPr>
                <w:rFonts w:hint="eastAsia" w:ascii="宋体" w:hAnsi="宋体" w:eastAsia="宋体" w:cs="宋体"/>
                <w:color w:val="000000"/>
                <w:sz w:val="21"/>
                <w:szCs w:val="21"/>
                <w:highlight w:val="none"/>
                <w:lang w:val="en-US" w:eastAsia="zh-CN"/>
              </w:rPr>
              <w:t>3840</w:t>
            </w:r>
            <w:r>
              <w:rPr>
                <w:rFonts w:hint="eastAsia" w:ascii="宋体" w:hAnsi="宋体" w:eastAsia="宋体" w:cs="宋体"/>
                <w:color w:val="000000"/>
                <w:sz w:val="21"/>
                <w:szCs w:val="21"/>
                <w:highlight w:val="none"/>
              </w:rPr>
              <w:t>×2160</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亮度</w:t>
            </w:r>
            <w:r>
              <w:rPr>
                <w:rFonts w:hint="eastAsia" w:ascii="宋体" w:hAnsi="宋体" w:eastAsia="宋体" w:cs="宋体"/>
                <w:color w:val="auto"/>
                <w:sz w:val="21"/>
                <w:szCs w:val="21"/>
                <w:highlight w:val="none"/>
                <w:lang w:val="en-US" w:eastAsia="zh-CN"/>
              </w:rPr>
              <w:t>≥700 cd/㎡，提供产品彩页关键页扫描件及产品说明书关键页证明。</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rFonts w:hint="eastAsia" w:ascii="宋体" w:hAnsi="宋体" w:eastAsia="宋体" w:cs="宋体"/>
                <w:sz w:val="21"/>
                <w:szCs w:val="21"/>
                <w:lang w:val="en-US" w:eastAsia="zh-CN"/>
              </w:rPr>
            </w:pPr>
          </w:p>
        </w:tc>
        <w:tc>
          <w:tcPr>
            <w:tcW w:w="397" w:type="pct"/>
            <w:noWrap w:val="0"/>
            <w:vAlign w:val="center"/>
          </w:tcPr>
          <w:p>
            <w:pPr>
              <w:numPr>
                <w:ilvl w:val="0"/>
                <w:numId w:val="2"/>
              </w:numPr>
              <w:spacing w:line="320" w:lineRule="exact"/>
              <w:ind w:left="420" w:leftChars="0" w:hanging="420" w:firstLineChars="0"/>
              <w:jc w:val="both"/>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w:t>
            </w:r>
          </w:p>
        </w:tc>
        <w:tc>
          <w:tcPr>
            <w:tcW w:w="439" w:type="pct"/>
            <w:noWrap w:val="0"/>
            <w:vAlign w:val="center"/>
          </w:tcPr>
          <w:p>
            <w:pPr>
              <w:spacing w:line="320" w:lineRule="exact"/>
              <w:jc w:val="lef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highlight w:val="none"/>
              </w:rPr>
              <w:t>医疗设备曲线</w:t>
            </w:r>
          </w:p>
        </w:tc>
        <w:tc>
          <w:tcPr>
            <w:tcW w:w="1817" w:type="pct"/>
            <w:noWrap w:val="0"/>
            <w:vAlign w:val="center"/>
          </w:tcPr>
          <w:p>
            <w:pPr>
              <w:spacing w:line="320" w:lineRule="exact"/>
              <w:jc w:val="left"/>
              <w:rPr>
                <w:rFonts w:hint="eastAsia" w:ascii="宋体" w:hAnsi="宋体" w:eastAsia="宋体" w:cs="宋体"/>
                <w:color w:val="auto"/>
                <w:sz w:val="21"/>
                <w:szCs w:val="21"/>
                <w:highlight w:val="none"/>
              </w:rPr>
            </w:pPr>
            <w:r>
              <w:rPr>
                <w:rFonts w:hint="eastAsia" w:ascii="宋体" w:hAnsi="宋体" w:eastAsia="宋体" w:cs="宋体"/>
                <w:color w:val="000000"/>
                <w:sz w:val="21"/>
                <w:szCs w:val="21"/>
                <w:highlight w:val="none"/>
              </w:rPr>
              <w:t>显示器完全符合DICOM3.14标准</w:t>
            </w:r>
            <w:r>
              <w:rPr>
                <w:rFonts w:hint="eastAsia" w:ascii="宋体" w:hAnsi="宋体" w:eastAsia="宋体" w:cs="宋体"/>
                <w:color w:val="000000"/>
                <w:sz w:val="21"/>
                <w:szCs w:val="21"/>
                <w:highlight w:val="none"/>
                <w:lang w:eastAsia="zh-CN"/>
              </w:rPr>
              <w:t>，</w:t>
            </w:r>
            <w:r>
              <w:rPr>
                <w:rFonts w:hint="eastAsia" w:ascii="宋体" w:hAnsi="宋体" w:eastAsia="宋体" w:cs="宋体"/>
                <w:color w:val="auto"/>
                <w:sz w:val="21"/>
                <w:szCs w:val="21"/>
                <w:highlight w:val="none"/>
              </w:rPr>
              <w:t>内置</w:t>
            </w:r>
            <w:r>
              <w:rPr>
                <w:rFonts w:hint="eastAsia" w:ascii="宋体" w:hAnsi="宋体" w:eastAsia="宋体" w:cs="宋体"/>
                <w:color w:val="auto"/>
                <w:sz w:val="21"/>
                <w:szCs w:val="21"/>
                <w:highlight w:val="none"/>
                <w:lang w:val="en-US" w:eastAsia="zh-CN"/>
              </w:rPr>
              <w:t>off</w:t>
            </w:r>
            <w:r>
              <w:rPr>
                <w:rFonts w:hint="eastAsia" w:ascii="宋体" w:hAnsi="宋体" w:eastAsia="宋体" w:cs="宋体"/>
                <w:color w:val="auto"/>
                <w:sz w:val="21"/>
                <w:szCs w:val="21"/>
                <w:highlight w:val="none"/>
              </w:rPr>
              <w:t>, 1.8, 2.0, 2.2, CIE, User1,User2, DICOM+0.5, DICOM+1.3,</w:t>
            </w:r>
          </w:p>
          <w:p>
            <w:pPr>
              <w:spacing w:line="32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DICOM 300, DICOM 350, DICOM400, DICOM 450, DICOM 500,</w:t>
            </w:r>
          </w:p>
          <w:p>
            <w:pPr>
              <w:spacing w:line="320" w:lineRule="exact"/>
              <w:jc w:val="left"/>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sz w:val="21"/>
                <w:szCs w:val="21"/>
                <w:highlight w:val="none"/>
              </w:rPr>
              <w:t>DICOM 550曲线</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内置 DICOM</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Gamma</w:t>
            </w:r>
            <w:r>
              <w:rPr>
                <w:rFonts w:hint="eastAsia" w:ascii="宋体" w:hAnsi="宋体" w:eastAsia="宋体" w:cs="宋体"/>
                <w:color w:val="auto"/>
                <w:sz w:val="21"/>
                <w:szCs w:val="21"/>
                <w:highlight w:val="none"/>
              </w:rPr>
              <w:t>曲线</w:t>
            </w:r>
            <w:r>
              <w:rPr>
                <w:rFonts w:hint="eastAsia" w:ascii="宋体" w:hAnsi="宋体" w:eastAsia="宋体" w:cs="宋体"/>
                <w:color w:val="auto"/>
                <w:sz w:val="21"/>
                <w:szCs w:val="21"/>
                <w:highlight w:val="none"/>
                <w:lang w:val="en-US" w:eastAsia="zh-CN"/>
              </w:rPr>
              <w:t>误差&lt;5%，提供产品实际菜单功能截图。</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rFonts w:hint="eastAsia" w:ascii="宋体" w:hAnsi="宋体" w:eastAsia="宋体" w:cs="宋体"/>
                <w:sz w:val="21"/>
                <w:szCs w:val="21"/>
                <w:lang w:val="en-US" w:eastAsia="zh-CN"/>
              </w:rPr>
            </w:pPr>
          </w:p>
        </w:tc>
        <w:tc>
          <w:tcPr>
            <w:tcW w:w="397" w:type="pct"/>
            <w:noWrap w:val="0"/>
            <w:vAlign w:val="center"/>
          </w:tcPr>
          <w:p>
            <w:pPr>
              <w:numPr>
                <w:ilvl w:val="0"/>
                <w:numId w:val="2"/>
              </w:numPr>
              <w:spacing w:line="320" w:lineRule="exact"/>
              <w:ind w:left="420" w:leftChars="0" w:hanging="420" w:firstLineChars="0"/>
              <w:jc w:val="both"/>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w:t>
            </w:r>
          </w:p>
        </w:tc>
        <w:tc>
          <w:tcPr>
            <w:tcW w:w="439" w:type="pct"/>
            <w:noWrap w:val="0"/>
            <w:vAlign w:val="center"/>
          </w:tcPr>
          <w:p>
            <w:pPr>
              <w:spacing w:line="320" w:lineRule="exact"/>
              <w:jc w:val="lef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highlight w:val="none"/>
              </w:rPr>
              <w:t>输入信号</w:t>
            </w:r>
          </w:p>
        </w:tc>
        <w:tc>
          <w:tcPr>
            <w:tcW w:w="1817" w:type="pct"/>
            <w:noWrap w:val="0"/>
            <w:vAlign w:val="center"/>
          </w:tcPr>
          <w:p>
            <w:pPr>
              <w:spacing w:line="320" w:lineRule="exact"/>
              <w:ind w:left="21" w:leftChars="10"/>
              <w:jc w:val="left"/>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sz w:val="21"/>
                <w:szCs w:val="21"/>
                <w:highlight w:val="none"/>
                <w:lang w:val="en-US" w:eastAsia="zh-CN"/>
              </w:rPr>
              <w:t>Display port</w:t>
            </w:r>
            <w:r>
              <w:rPr>
                <w:rFonts w:hint="eastAsia" w:ascii="宋体" w:hAnsi="宋体" w:eastAsia="宋体" w:cs="宋体"/>
                <w:color w:val="000000"/>
                <w:sz w:val="21"/>
                <w:szCs w:val="21"/>
                <w:highlight w:val="none"/>
                <w:lang w:val="en-US" w:eastAsia="zh-CN"/>
              </w:rPr>
              <w:t>≥</w:t>
            </w:r>
            <w:r>
              <w:rPr>
                <w:rFonts w:hint="eastAsia" w:ascii="宋体" w:hAnsi="宋体" w:eastAsia="宋体" w:cs="宋体"/>
                <w:color w:val="auto"/>
                <w:sz w:val="21"/>
                <w:szCs w:val="21"/>
                <w:highlight w:val="none"/>
                <w:lang w:val="en-US" w:eastAsia="zh-CN"/>
              </w:rPr>
              <w:t>2，DVI-D</w:t>
            </w:r>
            <w:r>
              <w:rPr>
                <w:rFonts w:hint="eastAsia" w:ascii="宋体" w:hAnsi="宋体" w:eastAsia="宋体" w:cs="宋体"/>
                <w:color w:val="000000"/>
                <w:sz w:val="21"/>
                <w:szCs w:val="21"/>
                <w:highlight w:val="none"/>
                <w:lang w:val="en-US" w:eastAsia="zh-CN"/>
              </w:rPr>
              <w:t>≥</w:t>
            </w:r>
            <w:r>
              <w:rPr>
                <w:rFonts w:hint="eastAsia" w:ascii="宋体" w:hAnsi="宋体" w:eastAsia="宋体" w:cs="宋体"/>
                <w:color w:val="auto"/>
                <w:sz w:val="21"/>
                <w:szCs w:val="21"/>
                <w:highlight w:val="none"/>
                <w:lang w:val="en-US" w:eastAsia="zh-CN"/>
              </w:rPr>
              <w:t>2，VGA</w:t>
            </w:r>
            <w:r>
              <w:rPr>
                <w:rFonts w:hint="eastAsia" w:ascii="宋体" w:hAnsi="宋体" w:eastAsia="宋体" w:cs="宋体"/>
                <w:color w:val="000000"/>
                <w:sz w:val="21"/>
                <w:szCs w:val="21"/>
                <w:highlight w:val="none"/>
                <w:lang w:val="en-US"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i w:val="0"/>
                <w:iCs w:val="0"/>
                <w:color w:val="auto"/>
                <w:kern w:val="2"/>
                <w:sz w:val="21"/>
                <w:szCs w:val="21"/>
                <w:highlight w:val="none"/>
                <w:u w:val="none"/>
                <w:lang w:val="en-US" w:eastAsia="zh-CN" w:bidi="ar-SA"/>
              </w:rPr>
              <w:t>提供整机照片及信号接口的实物照片证明材料。</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rFonts w:hint="eastAsia" w:ascii="宋体" w:hAnsi="宋体" w:eastAsia="宋体" w:cs="宋体"/>
                <w:sz w:val="21"/>
                <w:szCs w:val="21"/>
                <w:lang w:val="en-US" w:eastAsia="zh-CN"/>
              </w:rPr>
            </w:pPr>
          </w:p>
        </w:tc>
        <w:tc>
          <w:tcPr>
            <w:tcW w:w="397" w:type="pct"/>
            <w:noWrap w:val="0"/>
            <w:vAlign w:val="center"/>
          </w:tcPr>
          <w:p>
            <w:pPr>
              <w:numPr>
                <w:ilvl w:val="0"/>
                <w:numId w:val="2"/>
              </w:numPr>
              <w:spacing w:line="320" w:lineRule="exact"/>
              <w:ind w:left="420" w:leftChars="0" w:hanging="420" w:firstLineChars="0"/>
              <w:jc w:val="both"/>
              <w:rPr>
                <w:rFonts w:hint="eastAsia" w:ascii="宋体" w:hAnsi="宋体" w:eastAsia="宋体" w:cs="宋体"/>
                <w:i w:val="0"/>
                <w:iCs w:val="0"/>
                <w:color w:val="000000"/>
                <w:kern w:val="0"/>
                <w:sz w:val="21"/>
                <w:szCs w:val="21"/>
                <w:u w:val="none"/>
                <w:lang w:val="en-US" w:eastAsia="zh-CN" w:bidi="ar"/>
              </w:rPr>
            </w:pPr>
          </w:p>
        </w:tc>
        <w:tc>
          <w:tcPr>
            <w:tcW w:w="439" w:type="pct"/>
            <w:noWrap w:val="0"/>
            <w:vAlign w:val="center"/>
          </w:tcPr>
          <w:p>
            <w:pPr>
              <w:spacing w:line="320" w:lineRule="exact"/>
              <w:jc w:val="lef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highlight w:val="none"/>
              </w:rPr>
              <w:t>显卡</w:t>
            </w:r>
          </w:p>
        </w:tc>
        <w:tc>
          <w:tcPr>
            <w:tcW w:w="1817" w:type="pct"/>
            <w:noWrap w:val="0"/>
            <w:vAlign w:val="center"/>
          </w:tcPr>
          <w:p>
            <w:pPr>
              <w:spacing w:line="320" w:lineRule="exact"/>
              <w:ind w:left="21" w:leftChars="10"/>
              <w:jc w:val="left"/>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sz w:val="21"/>
                <w:szCs w:val="21"/>
                <w:highlight w:val="none"/>
                <w:lang w:val="en-US" w:eastAsia="zh-CN"/>
              </w:rPr>
              <w:t>专业显卡，配置AMD或者NVIDIA专业芯片组显卡（非游戏类显卡），DP信号输出≥3路，显存≥2G，提供产品规格书，并支持官网查询确认</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rFonts w:hint="eastAsia" w:ascii="宋体" w:hAnsi="宋体" w:eastAsia="宋体" w:cs="宋体"/>
                <w:sz w:val="21"/>
                <w:szCs w:val="21"/>
                <w:lang w:val="en-US" w:eastAsia="zh-CN"/>
              </w:rPr>
            </w:pPr>
          </w:p>
        </w:tc>
        <w:tc>
          <w:tcPr>
            <w:tcW w:w="397" w:type="pct"/>
            <w:noWrap w:val="0"/>
            <w:vAlign w:val="center"/>
          </w:tcPr>
          <w:p>
            <w:pPr>
              <w:numPr>
                <w:ilvl w:val="0"/>
                <w:numId w:val="2"/>
              </w:numPr>
              <w:spacing w:line="320" w:lineRule="exact"/>
              <w:ind w:left="420" w:leftChars="0" w:hanging="420" w:firstLineChars="0"/>
              <w:jc w:val="both"/>
              <w:rPr>
                <w:rFonts w:hint="eastAsia" w:ascii="宋体" w:hAnsi="宋体" w:eastAsia="宋体" w:cs="宋体"/>
                <w:i w:val="0"/>
                <w:iCs w:val="0"/>
                <w:color w:val="000000"/>
                <w:kern w:val="0"/>
                <w:sz w:val="21"/>
                <w:szCs w:val="21"/>
                <w:u w:val="none"/>
                <w:lang w:val="en-US" w:eastAsia="zh-CN" w:bidi="ar"/>
              </w:rPr>
            </w:pPr>
          </w:p>
        </w:tc>
        <w:tc>
          <w:tcPr>
            <w:tcW w:w="439" w:type="pct"/>
            <w:noWrap w:val="0"/>
            <w:vAlign w:val="center"/>
          </w:tcPr>
          <w:p>
            <w:pPr>
              <w:spacing w:line="320" w:lineRule="exact"/>
              <w:jc w:val="lef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highlight w:val="none"/>
              </w:rPr>
              <w:t>操作按键</w:t>
            </w:r>
          </w:p>
        </w:tc>
        <w:tc>
          <w:tcPr>
            <w:tcW w:w="1817" w:type="pct"/>
            <w:noWrap w:val="0"/>
            <w:vAlign w:val="center"/>
          </w:tcPr>
          <w:p>
            <w:pPr>
              <w:spacing w:line="320" w:lineRule="exact"/>
              <w:jc w:val="left"/>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000000"/>
                <w:sz w:val="21"/>
                <w:szCs w:val="21"/>
                <w:highlight w:val="none"/>
                <w:lang w:val="en-US" w:eastAsia="zh-CN"/>
              </w:rPr>
              <w:t>具备隐藏式电容式触控按键（非传统式机械按压电子按键），并且具有按键提示声音功能，以方便在专业阅片环境下操作，电容式触控按键具有超长使用寿命，提供整体产品按键功能框图、功能实物照片及产品说明书关键页证明。</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rFonts w:hint="eastAsia" w:ascii="宋体" w:hAnsi="宋体" w:eastAsia="宋体" w:cs="宋体"/>
                <w:sz w:val="21"/>
                <w:szCs w:val="21"/>
                <w:lang w:val="en-US" w:eastAsia="zh-CN"/>
              </w:rPr>
            </w:pPr>
          </w:p>
        </w:tc>
        <w:tc>
          <w:tcPr>
            <w:tcW w:w="397" w:type="pct"/>
            <w:noWrap w:val="0"/>
            <w:vAlign w:val="center"/>
          </w:tcPr>
          <w:p>
            <w:pPr>
              <w:numPr>
                <w:ilvl w:val="0"/>
                <w:numId w:val="2"/>
              </w:numPr>
              <w:spacing w:line="320" w:lineRule="exact"/>
              <w:ind w:left="420" w:leftChars="0" w:hanging="420" w:firstLineChars="0"/>
              <w:jc w:val="both"/>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w:t>
            </w:r>
          </w:p>
        </w:tc>
        <w:tc>
          <w:tcPr>
            <w:tcW w:w="439" w:type="pct"/>
            <w:noWrap w:val="0"/>
            <w:vAlign w:val="center"/>
          </w:tcPr>
          <w:p>
            <w:pPr>
              <w:spacing w:line="320" w:lineRule="exact"/>
              <w:jc w:val="lef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highlight w:val="none"/>
                <w:lang w:val="en-US" w:eastAsia="zh-CN"/>
              </w:rPr>
              <w:t>快捷切换</w:t>
            </w:r>
          </w:p>
        </w:tc>
        <w:tc>
          <w:tcPr>
            <w:tcW w:w="1817" w:type="pct"/>
            <w:noWrap w:val="0"/>
            <w:vAlign w:val="center"/>
          </w:tcPr>
          <w:p>
            <w:pPr>
              <w:spacing w:line="320" w:lineRule="exact"/>
              <w:ind w:left="21" w:leftChars="10"/>
              <w:jc w:val="left"/>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000000"/>
                <w:sz w:val="21"/>
                <w:szCs w:val="21"/>
                <w:highlight w:val="none"/>
                <w:lang w:val="en-US" w:eastAsia="zh-CN"/>
              </w:rPr>
              <w:t>支持一键快捷切换Gamma2.2与Dicom切换，一键打开影像显示单色彩色切换功能，一键打开信号通道切换功能，提供实际产品的内置操作功能菜单的截图界面照片及产品说明书关键页证明。</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rFonts w:hint="eastAsia" w:ascii="宋体" w:hAnsi="宋体" w:eastAsia="宋体" w:cs="宋体"/>
                <w:sz w:val="21"/>
                <w:szCs w:val="21"/>
                <w:lang w:val="en-US" w:eastAsia="zh-CN"/>
              </w:rPr>
            </w:pPr>
          </w:p>
        </w:tc>
        <w:tc>
          <w:tcPr>
            <w:tcW w:w="397" w:type="pct"/>
            <w:noWrap w:val="0"/>
            <w:vAlign w:val="center"/>
          </w:tcPr>
          <w:p>
            <w:pPr>
              <w:numPr>
                <w:ilvl w:val="0"/>
                <w:numId w:val="2"/>
              </w:numPr>
              <w:spacing w:line="320" w:lineRule="exact"/>
              <w:ind w:left="420" w:leftChars="0" w:hanging="420" w:firstLineChars="0"/>
              <w:jc w:val="both"/>
              <w:rPr>
                <w:rFonts w:hint="eastAsia" w:ascii="宋体" w:hAnsi="宋体" w:eastAsia="宋体" w:cs="宋体"/>
                <w:i w:val="0"/>
                <w:iCs w:val="0"/>
                <w:color w:val="000000"/>
                <w:kern w:val="0"/>
                <w:sz w:val="21"/>
                <w:szCs w:val="21"/>
                <w:u w:val="none"/>
                <w:lang w:val="en-US" w:eastAsia="zh-CN" w:bidi="ar"/>
              </w:rPr>
            </w:pPr>
          </w:p>
        </w:tc>
        <w:tc>
          <w:tcPr>
            <w:tcW w:w="439" w:type="pct"/>
            <w:noWrap w:val="0"/>
            <w:vAlign w:val="center"/>
          </w:tcPr>
          <w:p>
            <w:pPr>
              <w:spacing w:line="320" w:lineRule="exact"/>
              <w:jc w:val="lef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highlight w:val="none"/>
              </w:rPr>
              <w:t>灯箱功能</w:t>
            </w:r>
          </w:p>
        </w:tc>
        <w:tc>
          <w:tcPr>
            <w:tcW w:w="1817" w:type="pct"/>
            <w:noWrap w:val="0"/>
            <w:vAlign w:val="center"/>
          </w:tcPr>
          <w:p>
            <w:pPr>
              <w:spacing w:line="320" w:lineRule="exact"/>
              <w:ind w:left="21" w:leftChars="10"/>
              <w:jc w:val="left"/>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000000"/>
                <w:sz w:val="21"/>
                <w:szCs w:val="21"/>
                <w:highlight w:val="none"/>
                <w:lang w:val="en-US" w:eastAsia="zh-CN"/>
              </w:rPr>
              <w:t>显示器一键控制开启显示器灯箱功能并支持一键开启灯箱显示区域控制菜单（全屏显示、左半屏或右半屏显示），提供实际产品的内置操作功能菜单的截图界面照片及产品说明书关键页证明。</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rFonts w:hint="eastAsia" w:ascii="宋体" w:hAnsi="宋体" w:eastAsia="宋体" w:cs="宋体"/>
                <w:sz w:val="21"/>
                <w:szCs w:val="21"/>
                <w:lang w:val="en-US" w:eastAsia="zh-CN"/>
              </w:rPr>
            </w:pPr>
          </w:p>
        </w:tc>
        <w:tc>
          <w:tcPr>
            <w:tcW w:w="397" w:type="pct"/>
            <w:noWrap w:val="0"/>
            <w:vAlign w:val="center"/>
          </w:tcPr>
          <w:p>
            <w:pPr>
              <w:numPr>
                <w:ilvl w:val="0"/>
                <w:numId w:val="2"/>
              </w:numPr>
              <w:spacing w:line="320" w:lineRule="exact"/>
              <w:ind w:left="420" w:leftChars="0" w:hanging="420" w:firstLineChars="0"/>
              <w:jc w:val="both"/>
              <w:rPr>
                <w:rFonts w:hint="eastAsia" w:ascii="宋体" w:hAnsi="宋体" w:eastAsia="宋体" w:cs="宋体"/>
                <w:i w:val="0"/>
                <w:iCs w:val="0"/>
                <w:color w:val="000000"/>
                <w:kern w:val="0"/>
                <w:sz w:val="21"/>
                <w:szCs w:val="21"/>
                <w:u w:val="none"/>
                <w:lang w:val="en-US" w:eastAsia="zh-CN" w:bidi="ar"/>
              </w:rPr>
            </w:pPr>
          </w:p>
        </w:tc>
        <w:tc>
          <w:tcPr>
            <w:tcW w:w="439" w:type="pct"/>
            <w:noWrap w:val="0"/>
            <w:vAlign w:val="center"/>
          </w:tcPr>
          <w:p>
            <w:pPr>
              <w:spacing w:line="320" w:lineRule="exact"/>
              <w:jc w:val="lef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highlight w:val="none"/>
              </w:rPr>
              <w:t>健康提醒功能</w:t>
            </w:r>
          </w:p>
        </w:tc>
        <w:tc>
          <w:tcPr>
            <w:tcW w:w="1817" w:type="pct"/>
            <w:noWrap w:val="0"/>
            <w:vAlign w:val="center"/>
          </w:tcPr>
          <w:p>
            <w:pPr>
              <w:spacing w:line="320" w:lineRule="exact"/>
              <w:ind w:left="21" w:leftChars="10"/>
              <w:jc w:val="left"/>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000000"/>
                <w:sz w:val="21"/>
                <w:szCs w:val="21"/>
                <w:highlight w:val="none"/>
                <w:lang w:val="en-US" w:eastAsia="zh-CN"/>
              </w:rPr>
              <w:t>具有持续使用2小时自动屏幕显示提醒功能，以提醒医用长时间使用眼睛防护，并可通过产品显示控制菜单进行开关控制，提供实际产品的内置操作功能菜单的界面截图照片及产品说明书关键页扫描件。</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rFonts w:hint="eastAsia" w:ascii="宋体" w:hAnsi="宋体" w:eastAsia="宋体" w:cs="宋体"/>
                <w:sz w:val="21"/>
                <w:szCs w:val="21"/>
                <w:lang w:val="en-US" w:eastAsia="zh-CN"/>
              </w:rPr>
            </w:pPr>
          </w:p>
        </w:tc>
        <w:tc>
          <w:tcPr>
            <w:tcW w:w="397" w:type="pct"/>
            <w:noWrap w:val="0"/>
            <w:vAlign w:val="center"/>
          </w:tcPr>
          <w:p>
            <w:pPr>
              <w:numPr>
                <w:ilvl w:val="0"/>
                <w:numId w:val="2"/>
              </w:numPr>
              <w:spacing w:line="320" w:lineRule="exact"/>
              <w:ind w:left="420" w:leftChars="0" w:hanging="420" w:firstLineChars="0"/>
              <w:jc w:val="both"/>
              <w:rPr>
                <w:rFonts w:hint="eastAsia" w:ascii="宋体" w:hAnsi="宋体" w:eastAsia="宋体" w:cs="宋体"/>
                <w:i w:val="0"/>
                <w:iCs w:val="0"/>
                <w:color w:val="000000"/>
                <w:kern w:val="0"/>
                <w:sz w:val="21"/>
                <w:szCs w:val="21"/>
                <w:u w:val="none"/>
                <w:lang w:val="en-US" w:eastAsia="zh-CN" w:bidi="ar"/>
              </w:rPr>
            </w:pPr>
          </w:p>
        </w:tc>
        <w:tc>
          <w:tcPr>
            <w:tcW w:w="439" w:type="pct"/>
            <w:noWrap w:val="0"/>
            <w:vAlign w:val="center"/>
          </w:tcPr>
          <w:p>
            <w:pPr>
              <w:spacing w:line="320" w:lineRule="exact"/>
              <w:jc w:val="lef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highlight w:val="none"/>
              </w:rPr>
              <w:t>双屏显示</w:t>
            </w:r>
          </w:p>
        </w:tc>
        <w:tc>
          <w:tcPr>
            <w:tcW w:w="1817" w:type="pct"/>
            <w:noWrap w:val="0"/>
            <w:vAlign w:val="top"/>
          </w:tcPr>
          <w:p>
            <w:pPr>
              <w:spacing w:line="320" w:lineRule="exact"/>
              <w:ind w:left="21" w:leftChars="10"/>
              <w:jc w:val="left"/>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000000"/>
                <w:sz w:val="21"/>
                <w:szCs w:val="21"/>
                <w:highlight w:val="none"/>
                <w:lang w:val="en-US" w:eastAsia="zh-CN"/>
              </w:rPr>
              <w:t>两路信号可分别输入，在一个屏上实现双竖屏显示，满足对比诊断要求，支持一键切换单屏双屏模式</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rFonts w:hint="eastAsia" w:ascii="宋体" w:hAnsi="宋体" w:eastAsia="宋体" w:cs="宋体"/>
                <w:sz w:val="21"/>
                <w:szCs w:val="21"/>
                <w:lang w:val="en-US" w:eastAsia="zh-CN"/>
              </w:rPr>
            </w:pPr>
          </w:p>
        </w:tc>
        <w:tc>
          <w:tcPr>
            <w:tcW w:w="397" w:type="pct"/>
            <w:noWrap w:val="0"/>
            <w:vAlign w:val="center"/>
          </w:tcPr>
          <w:p>
            <w:pPr>
              <w:numPr>
                <w:ilvl w:val="0"/>
                <w:numId w:val="2"/>
              </w:numPr>
              <w:spacing w:line="320" w:lineRule="exact"/>
              <w:ind w:left="420" w:leftChars="0" w:hanging="420" w:firstLineChars="0"/>
              <w:jc w:val="both"/>
              <w:rPr>
                <w:rFonts w:hint="eastAsia" w:ascii="宋体" w:hAnsi="宋体" w:eastAsia="宋体" w:cs="宋体"/>
                <w:i w:val="0"/>
                <w:iCs w:val="0"/>
                <w:color w:val="000000"/>
                <w:kern w:val="0"/>
                <w:sz w:val="21"/>
                <w:szCs w:val="21"/>
                <w:u w:val="none"/>
                <w:lang w:val="en-US" w:eastAsia="zh-CN" w:bidi="ar"/>
              </w:rPr>
            </w:pPr>
          </w:p>
        </w:tc>
        <w:tc>
          <w:tcPr>
            <w:tcW w:w="439" w:type="pct"/>
            <w:noWrap w:val="0"/>
            <w:vAlign w:val="center"/>
          </w:tcPr>
          <w:p>
            <w:pPr>
              <w:spacing w:line="320" w:lineRule="exact"/>
              <w:jc w:val="lef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highlight w:val="none"/>
              </w:rPr>
              <w:t>亮度恒定技术</w:t>
            </w:r>
          </w:p>
        </w:tc>
        <w:tc>
          <w:tcPr>
            <w:tcW w:w="1817" w:type="pct"/>
            <w:noWrap w:val="0"/>
            <w:vAlign w:val="center"/>
          </w:tcPr>
          <w:p>
            <w:pPr>
              <w:spacing w:line="320" w:lineRule="exact"/>
              <w:ind w:left="21" w:leftChars="10"/>
              <w:jc w:val="left"/>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000000"/>
                <w:sz w:val="21"/>
                <w:szCs w:val="21"/>
                <w:highlight w:val="none"/>
                <w:lang w:val="en-US" w:eastAsia="zh-CN"/>
              </w:rPr>
              <w:t>内置背光传感器监测背光亮度保证背光稳定</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rFonts w:hint="eastAsia" w:ascii="宋体" w:hAnsi="宋体" w:eastAsia="宋体" w:cs="宋体"/>
                <w:sz w:val="21"/>
                <w:szCs w:val="21"/>
                <w:lang w:val="en-US" w:eastAsia="zh-CN"/>
              </w:rPr>
            </w:pPr>
          </w:p>
        </w:tc>
        <w:tc>
          <w:tcPr>
            <w:tcW w:w="397" w:type="pct"/>
            <w:noWrap w:val="0"/>
            <w:vAlign w:val="center"/>
          </w:tcPr>
          <w:p>
            <w:pPr>
              <w:numPr>
                <w:ilvl w:val="0"/>
                <w:numId w:val="2"/>
              </w:numPr>
              <w:spacing w:line="320" w:lineRule="exact"/>
              <w:ind w:left="420" w:leftChars="0" w:hanging="420" w:firstLineChars="0"/>
              <w:jc w:val="both"/>
              <w:rPr>
                <w:rFonts w:hint="eastAsia" w:ascii="宋体" w:hAnsi="宋体" w:eastAsia="宋体" w:cs="宋体"/>
                <w:i w:val="0"/>
                <w:iCs w:val="0"/>
                <w:color w:val="000000"/>
                <w:kern w:val="0"/>
                <w:sz w:val="21"/>
                <w:szCs w:val="21"/>
                <w:u w:val="none"/>
                <w:lang w:val="en-US" w:eastAsia="zh-CN" w:bidi="ar"/>
              </w:rPr>
            </w:pPr>
          </w:p>
        </w:tc>
        <w:tc>
          <w:tcPr>
            <w:tcW w:w="439" w:type="pct"/>
            <w:noWrap w:val="0"/>
            <w:vAlign w:val="center"/>
          </w:tcPr>
          <w:p>
            <w:pPr>
              <w:spacing w:line="320" w:lineRule="exact"/>
              <w:jc w:val="left"/>
              <w:rPr>
                <w:rFonts w:hint="eastAsia" w:ascii="宋体" w:hAnsi="宋体" w:eastAsia="宋体" w:cs="宋体"/>
                <w:color w:val="000000"/>
                <w:sz w:val="21"/>
                <w:szCs w:val="21"/>
                <w:lang w:val="en-US" w:eastAsia="zh-CN"/>
              </w:rPr>
            </w:pPr>
            <w:r>
              <w:rPr>
                <w:rFonts w:hint="eastAsia" w:ascii="宋体" w:hAnsi="宋体" w:eastAsia="宋体" w:cs="宋体"/>
                <w:color w:val="auto"/>
                <w:sz w:val="21"/>
                <w:szCs w:val="21"/>
                <w:highlight w:val="none"/>
                <w:lang w:val="en-US" w:eastAsia="zh-CN"/>
              </w:rPr>
              <w:t>显示鼠标定位控制技术</w:t>
            </w:r>
          </w:p>
        </w:tc>
        <w:tc>
          <w:tcPr>
            <w:tcW w:w="1817" w:type="pct"/>
            <w:noWrap w:val="0"/>
            <w:vAlign w:val="center"/>
          </w:tcPr>
          <w:p>
            <w:pPr>
              <w:spacing w:line="320" w:lineRule="exact"/>
              <w:jc w:val="left"/>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sz w:val="21"/>
                <w:szCs w:val="21"/>
                <w:highlight w:val="none"/>
                <w:lang w:val="en-US" w:eastAsia="zh-CN"/>
              </w:rPr>
              <w:t>具有显示鼠标定位控制技术，方便在临床诊断过程时，可以一键智能定位鼠标位置，以解决在高分辨率专业医用显示屏难以寻找鼠标位置的临床应用。</w:t>
            </w:r>
            <w:r>
              <w:rPr>
                <w:rFonts w:hint="eastAsia" w:ascii="宋体" w:hAnsi="宋体" w:eastAsia="宋体" w:cs="宋体"/>
                <w:color w:val="000000"/>
                <w:sz w:val="21"/>
                <w:szCs w:val="21"/>
                <w:highlight w:val="none"/>
                <w:lang w:val="en-US" w:eastAsia="zh-CN"/>
              </w:rPr>
              <w:t>提供国家知识产权局/版权局出具的证明文件。</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rFonts w:hint="eastAsia" w:ascii="宋体" w:hAnsi="宋体" w:eastAsia="宋体" w:cs="宋体"/>
                <w:sz w:val="21"/>
                <w:szCs w:val="21"/>
                <w:lang w:val="en-US" w:eastAsia="zh-CN"/>
              </w:rPr>
            </w:pPr>
          </w:p>
        </w:tc>
        <w:tc>
          <w:tcPr>
            <w:tcW w:w="397" w:type="pct"/>
            <w:noWrap w:val="0"/>
            <w:vAlign w:val="center"/>
          </w:tcPr>
          <w:p>
            <w:pPr>
              <w:numPr>
                <w:ilvl w:val="0"/>
                <w:numId w:val="2"/>
              </w:numPr>
              <w:spacing w:line="320" w:lineRule="exact"/>
              <w:ind w:left="420" w:leftChars="0" w:hanging="420" w:firstLineChars="0"/>
              <w:jc w:val="both"/>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w:t>
            </w:r>
          </w:p>
        </w:tc>
        <w:tc>
          <w:tcPr>
            <w:tcW w:w="439" w:type="pct"/>
            <w:noWrap w:val="0"/>
            <w:vAlign w:val="center"/>
          </w:tcPr>
          <w:p>
            <w:pPr>
              <w:spacing w:line="320" w:lineRule="exact"/>
              <w:jc w:val="left"/>
              <w:rPr>
                <w:rFonts w:hint="eastAsia" w:ascii="宋体" w:hAnsi="宋体" w:eastAsia="宋体" w:cs="宋体"/>
                <w:color w:val="000000"/>
                <w:sz w:val="21"/>
                <w:szCs w:val="21"/>
                <w:lang w:val="en-US" w:eastAsia="zh-CN"/>
              </w:rPr>
            </w:pPr>
            <w:r>
              <w:rPr>
                <w:rFonts w:hint="eastAsia" w:ascii="宋体" w:hAnsi="宋体" w:eastAsia="宋体" w:cs="宋体"/>
                <w:color w:val="auto"/>
                <w:sz w:val="21"/>
                <w:szCs w:val="21"/>
                <w:highlight w:val="none"/>
                <w:lang w:val="en-US" w:eastAsia="zh-CN"/>
              </w:rPr>
              <w:t>多显示鼠标自适应技术</w:t>
            </w:r>
          </w:p>
        </w:tc>
        <w:tc>
          <w:tcPr>
            <w:tcW w:w="1817" w:type="pct"/>
            <w:noWrap w:val="0"/>
            <w:vAlign w:val="center"/>
          </w:tcPr>
          <w:p>
            <w:pPr>
              <w:spacing w:line="320" w:lineRule="exact"/>
              <w:jc w:val="left"/>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sz w:val="21"/>
                <w:szCs w:val="21"/>
                <w:highlight w:val="none"/>
                <w:lang w:val="en-US" w:eastAsia="zh-CN"/>
              </w:rPr>
              <w:t>具有多显示鼠标自适应技术，方便在临床诊断应用多显示屏时，鼠标智能自适应各个显示屏幕任一位置，解决多个显示屏由于分辨率不同，鼠标不能移动至精度坐标位置的临床应用，</w:t>
            </w:r>
            <w:r>
              <w:rPr>
                <w:rFonts w:hint="eastAsia" w:ascii="宋体" w:hAnsi="宋体" w:eastAsia="宋体" w:cs="宋体"/>
                <w:color w:val="000000"/>
                <w:sz w:val="21"/>
                <w:szCs w:val="21"/>
                <w:highlight w:val="none"/>
                <w:lang w:val="en-US" w:eastAsia="zh-CN"/>
              </w:rPr>
              <w:t>提供国家知识产权局/版权局出具的证明文件。</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rFonts w:hint="eastAsia" w:ascii="宋体" w:hAnsi="宋体" w:eastAsia="宋体" w:cs="宋体"/>
                <w:sz w:val="21"/>
                <w:szCs w:val="21"/>
                <w:lang w:val="en-US" w:eastAsia="zh-CN"/>
              </w:rPr>
            </w:pPr>
          </w:p>
        </w:tc>
        <w:tc>
          <w:tcPr>
            <w:tcW w:w="397" w:type="pct"/>
            <w:noWrap w:val="0"/>
            <w:vAlign w:val="center"/>
          </w:tcPr>
          <w:p>
            <w:pPr>
              <w:numPr>
                <w:ilvl w:val="0"/>
                <w:numId w:val="2"/>
              </w:numPr>
              <w:spacing w:line="320" w:lineRule="exact"/>
              <w:ind w:left="420" w:leftChars="0" w:hanging="420" w:firstLineChars="0"/>
              <w:jc w:val="both"/>
              <w:rPr>
                <w:rFonts w:hint="eastAsia" w:ascii="宋体" w:hAnsi="宋体" w:eastAsia="宋体" w:cs="宋体"/>
                <w:i w:val="0"/>
                <w:iCs w:val="0"/>
                <w:color w:val="000000"/>
                <w:kern w:val="0"/>
                <w:sz w:val="21"/>
                <w:szCs w:val="21"/>
                <w:u w:val="none"/>
                <w:lang w:val="en-US" w:eastAsia="zh-CN" w:bidi="ar"/>
              </w:rPr>
            </w:pPr>
          </w:p>
        </w:tc>
        <w:tc>
          <w:tcPr>
            <w:tcW w:w="439" w:type="pct"/>
            <w:noWrap w:val="0"/>
            <w:vAlign w:val="center"/>
          </w:tcPr>
          <w:p>
            <w:pPr>
              <w:spacing w:line="320" w:lineRule="exact"/>
              <w:jc w:val="lef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highlight w:val="none"/>
                <w:lang w:val="en-US" w:eastAsia="zh-CN"/>
              </w:rPr>
              <w:t>CCC认证</w:t>
            </w:r>
          </w:p>
        </w:tc>
        <w:tc>
          <w:tcPr>
            <w:tcW w:w="1817" w:type="pct"/>
            <w:noWrap w:val="0"/>
            <w:vAlign w:val="center"/>
          </w:tcPr>
          <w:p>
            <w:pPr>
              <w:spacing w:line="320" w:lineRule="exact"/>
              <w:jc w:val="left"/>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sz w:val="21"/>
                <w:szCs w:val="21"/>
                <w:highlight w:val="none"/>
              </w:rPr>
              <w:t>产品取得CCC</w:t>
            </w:r>
            <w:r>
              <w:rPr>
                <w:rFonts w:hint="eastAsia" w:ascii="宋体" w:hAnsi="宋体" w:eastAsia="宋体" w:cs="宋体"/>
                <w:color w:val="auto"/>
                <w:sz w:val="21"/>
                <w:szCs w:val="21"/>
                <w:highlight w:val="none"/>
                <w:lang w:val="en-US" w:eastAsia="zh-CN"/>
              </w:rPr>
              <w:t>认证</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rFonts w:hint="eastAsia" w:ascii="宋体" w:hAnsi="宋体" w:eastAsia="宋体" w:cs="宋体"/>
                <w:sz w:val="21"/>
                <w:szCs w:val="21"/>
                <w:lang w:val="en-US" w:eastAsia="zh-CN"/>
              </w:rPr>
            </w:pPr>
          </w:p>
        </w:tc>
        <w:tc>
          <w:tcPr>
            <w:tcW w:w="397" w:type="pct"/>
            <w:noWrap w:val="0"/>
            <w:vAlign w:val="center"/>
          </w:tcPr>
          <w:p>
            <w:pPr>
              <w:numPr>
                <w:ilvl w:val="0"/>
                <w:numId w:val="2"/>
              </w:numPr>
              <w:spacing w:line="320" w:lineRule="exact"/>
              <w:ind w:left="420" w:leftChars="0" w:hanging="420" w:firstLineChars="0"/>
              <w:jc w:val="both"/>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w:t>
            </w:r>
          </w:p>
        </w:tc>
        <w:tc>
          <w:tcPr>
            <w:tcW w:w="439" w:type="pct"/>
            <w:noWrap w:val="0"/>
            <w:vAlign w:val="center"/>
          </w:tcPr>
          <w:p>
            <w:pPr>
              <w:keepNext w:val="0"/>
              <w:keepLines w:val="0"/>
              <w:widowControl/>
              <w:suppressLineNumbers w:val="0"/>
              <w:spacing w:line="240" w:lineRule="auto"/>
              <w:jc w:val="left"/>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auto"/>
                <w:kern w:val="2"/>
                <w:sz w:val="21"/>
                <w:szCs w:val="21"/>
                <w:highlight w:val="none"/>
                <w:u w:val="none"/>
                <w:lang w:val="en-US" w:eastAsia="zh-CN" w:bidi="ar-SA"/>
              </w:rPr>
              <w:t>产品要求</w:t>
            </w:r>
          </w:p>
        </w:tc>
        <w:tc>
          <w:tcPr>
            <w:tcW w:w="1817" w:type="pct"/>
            <w:noWrap w:val="0"/>
            <w:vAlign w:val="center"/>
          </w:tcPr>
          <w:p>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为使图像显示稳定，产品需与86"临床教学显示中心为同一品牌</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restart"/>
            <w:noWrap w:val="0"/>
            <w:vAlign w:val="center"/>
          </w:tcPr>
          <w:p>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标准医学影像阅片工作台</w:t>
            </w:r>
          </w:p>
        </w:tc>
        <w:tc>
          <w:tcPr>
            <w:tcW w:w="397" w:type="pct"/>
            <w:noWrap w:val="0"/>
            <w:vAlign w:val="center"/>
          </w:tcPr>
          <w:p>
            <w:pPr>
              <w:spacing w:line="320" w:lineRule="exact"/>
              <w:jc w:val="left"/>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color w:val="000000"/>
                <w:sz w:val="21"/>
                <w:szCs w:val="21"/>
              </w:rPr>
              <w:t>1</w:t>
            </w:r>
          </w:p>
        </w:tc>
        <w:tc>
          <w:tcPr>
            <w:tcW w:w="439" w:type="pct"/>
            <w:noWrap w:val="0"/>
            <w:vAlign w:val="center"/>
          </w:tcPr>
          <w:p>
            <w:pP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sz w:val="21"/>
                <w:szCs w:val="21"/>
              </w:rPr>
              <w:t xml:space="preserve">功能特点 </w:t>
            </w:r>
          </w:p>
        </w:tc>
        <w:tc>
          <w:tcPr>
            <w:tcW w:w="1817" w:type="pct"/>
            <w:noWrap w:val="0"/>
            <w:vAlign w:val="center"/>
          </w:tcPr>
          <w:p>
            <w:pP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sz w:val="21"/>
                <w:szCs w:val="21"/>
              </w:rPr>
              <w:t>一体化设计的影像阅片工作终端，减少对竖屏的眩光干扰，优化工作环境，依据人体工程学设计</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rFonts w:hint="eastAsia" w:ascii="宋体" w:hAnsi="宋体" w:eastAsia="宋体" w:cs="宋体"/>
                <w:sz w:val="21"/>
                <w:szCs w:val="21"/>
                <w:lang w:val="en-US" w:eastAsia="zh-CN"/>
              </w:rPr>
            </w:pPr>
          </w:p>
        </w:tc>
        <w:tc>
          <w:tcPr>
            <w:tcW w:w="397" w:type="pct"/>
            <w:noWrap w:val="0"/>
            <w:vAlign w:val="center"/>
          </w:tcPr>
          <w:p>
            <w:pPr>
              <w:spacing w:line="320" w:lineRule="exact"/>
              <w:jc w:val="left"/>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color w:val="000000"/>
                <w:sz w:val="21"/>
                <w:szCs w:val="21"/>
                <w:lang w:val="en-US" w:eastAsia="zh-CN"/>
              </w:rPr>
              <w:t>3</w:t>
            </w:r>
            <w:r>
              <w:rPr>
                <w:rFonts w:hint="eastAsia" w:ascii="宋体" w:hAnsi="宋体" w:eastAsia="宋体" w:cs="宋体"/>
                <w:color w:val="000000"/>
                <w:sz w:val="21"/>
                <w:szCs w:val="21"/>
              </w:rPr>
              <w:t xml:space="preserve"> </w:t>
            </w:r>
            <w:r>
              <w:rPr>
                <w:rFonts w:hint="eastAsia" w:ascii="宋体" w:hAnsi="宋体" w:eastAsia="宋体" w:cs="宋体"/>
                <w:color w:val="000000"/>
                <w:sz w:val="21"/>
                <w:szCs w:val="21"/>
                <w:lang w:val="en-US" w:eastAsia="zh-CN"/>
              </w:rPr>
              <w:t xml:space="preserve"> </w:t>
            </w:r>
          </w:p>
        </w:tc>
        <w:tc>
          <w:tcPr>
            <w:tcW w:w="439" w:type="pct"/>
            <w:noWrap w:val="0"/>
            <w:vAlign w:val="center"/>
          </w:tcPr>
          <w:p>
            <w:pP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sz w:val="21"/>
                <w:szCs w:val="21"/>
              </w:rPr>
              <w:t>内置电源分配</w:t>
            </w:r>
          </w:p>
        </w:tc>
        <w:tc>
          <w:tcPr>
            <w:tcW w:w="1817" w:type="pct"/>
            <w:noWrap w:val="0"/>
            <w:vAlign w:val="center"/>
          </w:tcPr>
          <w:p>
            <w:pP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sz w:val="21"/>
                <w:szCs w:val="21"/>
              </w:rPr>
              <w:t>具备独立过载保护，国标插座≥8路，提供产品实际图片</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rFonts w:hint="eastAsia" w:ascii="宋体" w:hAnsi="宋体" w:eastAsia="宋体" w:cs="宋体"/>
                <w:sz w:val="21"/>
                <w:szCs w:val="21"/>
                <w:lang w:val="en-US" w:eastAsia="zh-CN"/>
              </w:rPr>
            </w:pPr>
          </w:p>
        </w:tc>
        <w:tc>
          <w:tcPr>
            <w:tcW w:w="397" w:type="pct"/>
            <w:noWrap w:val="0"/>
            <w:vAlign w:val="center"/>
          </w:tcPr>
          <w:p>
            <w:pPr>
              <w:spacing w:line="320" w:lineRule="exact"/>
              <w:jc w:val="left"/>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color w:val="000000"/>
                <w:sz w:val="21"/>
                <w:szCs w:val="21"/>
                <w:lang w:val="en-US" w:eastAsia="zh-CN"/>
              </w:rPr>
              <w:t xml:space="preserve">4  </w:t>
            </w:r>
          </w:p>
        </w:tc>
        <w:tc>
          <w:tcPr>
            <w:tcW w:w="439" w:type="pct"/>
            <w:noWrap w:val="0"/>
            <w:vAlign w:val="center"/>
          </w:tcPr>
          <w:p>
            <w:pP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sz w:val="21"/>
                <w:szCs w:val="21"/>
              </w:rPr>
              <w:t>隐藏电源分配</w:t>
            </w:r>
          </w:p>
        </w:tc>
        <w:tc>
          <w:tcPr>
            <w:tcW w:w="1817" w:type="pct"/>
            <w:noWrap w:val="0"/>
            <w:vAlign w:val="center"/>
          </w:tcPr>
          <w:p>
            <w:pP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sz w:val="21"/>
                <w:szCs w:val="21"/>
              </w:rPr>
              <w:t>桌面隐藏式USB接口≥2个，桌面隐藏式万用电源接口≥3路，无需借助额外插线板，提供产品实际图片</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rFonts w:hint="eastAsia" w:ascii="宋体" w:hAnsi="宋体" w:eastAsia="宋体" w:cs="宋体"/>
                <w:sz w:val="21"/>
                <w:szCs w:val="21"/>
                <w:lang w:val="en-US" w:eastAsia="zh-CN"/>
              </w:rPr>
            </w:pPr>
          </w:p>
        </w:tc>
        <w:tc>
          <w:tcPr>
            <w:tcW w:w="397" w:type="pct"/>
            <w:noWrap w:val="0"/>
            <w:vAlign w:val="center"/>
          </w:tcPr>
          <w:p>
            <w:pPr>
              <w:spacing w:line="320" w:lineRule="exact"/>
              <w:jc w:val="left"/>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color w:val="000000"/>
                <w:sz w:val="21"/>
                <w:szCs w:val="21"/>
                <w:lang w:val="en-US" w:eastAsia="zh-CN"/>
              </w:rPr>
              <w:t xml:space="preserve">5  </w:t>
            </w:r>
            <w:r>
              <w:rPr>
                <w:rFonts w:hint="eastAsia" w:ascii="宋体" w:hAnsi="宋体" w:eastAsia="宋体" w:cs="宋体"/>
                <w:i w:val="0"/>
                <w:iCs w:val="0"/>
                <w:color w:val="000000"/>
                <w:kern w:val="0"/>
                <w:sz w:val="21"/>
                <w:szCs w:val="21"/>
                <w:u w:val="none"/>
                <w:lang w:val="en-US" w:eastAsia="zh-CN" w:bidi="ar"/>
              </w:rPr>
              <w:t>▲</w:t>
            </w:r>
          </w:p>
        </w:tc>
        <w:tc>
          <w:tcPr>
            <w:tcW w:w="439" w:type="pct"/>
            <w:noWrap w:val="0"/>
            <w:vAlign w:val="center"/>
          </w:tcPr>
          <w:p>
            <w:pP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sz w:val="21"/>
                <w:szCs w:val="21"/>
                <w:lang w:val="en-US" w:eastAsia="zh-CN"/>
              </w:rPr>
              <w:t>久坐提醒</w:t>
            </w:r>
          </w:p>
        </w:tc>
        <w:tc>
          <w:tcPr>
            <w:tcW w:w="1817" w:type="pct"/>
            <w:noWrap w:val="0"/>
            <w:vAlign w:val="center"/>
          </w:tcPr>
          <w:p>
            <w:pP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sz w:val="21"/>
                <w:szCs w:val="21"/>
                <w:lang w:val="en-US" w:eastAsia="zh-CN"/>
              </w:rPr>
              <w:t>可支持客户自定义提醒时间，到设置时间，自动提醒用户休息，微震动提醒方式</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rFonts w:hint="eastAsia" w:ascii="宋体" w:hAnsi="宋体" w:eastAsia="宋体" w:cs="宋体"/>
                <w:sz w:val="21"/>
                <w:szCs w:val="21"/>
                <w:lang w:val="en-US" w:eastAsia="zh-CN"/>
              </w:rPr>
            </w:pPr>
          </w:p>
        </w:tc>
        <w:tc>
          <w:tcPr>
            <w:tcW w:w="397" w:type="pct"/>
            <w:noWrap w:val="0"/>
            <w:vAlign w:val="center"/>
          </w:tcPr>
          <w:p>
            <w:pPr>
              <w:spacing w:line="320" w:lineRule="exact"/>
              <w:jc w:val="left"/>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color w:val="000000"/>
                <w:sz w:val="21"/>
                <w:szCs w:val="21"/>
                <w:lang w:val="en-US" w:eastAsia="zh-CN"/>
              </w:rPr>
              <w:t>6</w:t>
            </w:r>
          </w:p>
        </w:tc>
        <w:tc>
          <w:tcPr>
            <w:tcW w:w="439" w:type="pct"/>
            <w:noWrap w:val="0"/>
            <w:vAlign w:val="center"/>
          </w:tcPr>
          <w:p>
            <w:pP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sz w:val="21"/>
                <w:szCs w:val="21"/>
              </w:rPr>
              <w:t>理线结构</w:t>
            </w:r>
          </w:p>
        </w:tc>
        <w:tc>
          <w:tcPr>
            <w:tcW w:w="1817" w:type="pct"/>
            <w:noWrap w:val="0"/>
            <w:vAlign w:val="center"/>
          </w:tcPr>
          <w:p>
            <w:pP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sz w:val="21"/>
                <w:szCs w:val="21"/>
              </w:rPr>
              <w:t>隐藏式理线结构，</w:t>
            </w:r>
            <w:r>
              <w:rPr>
                <w:rFonts w:hint="eastAsia" w:ascii="宋体" w:hAnsi="宋体" w:eastAsia="宋体" w:cs="宋体"/>
                <w:sz w:val="21"/>
                <w:szCs w:val="21"/>
                <w:lang w:val="en-US" w:eastAsia="zh-CN"/>
              </w:rPr>
              <w:t>专业理线槽，</w:t>
            </w:r>
            <w:r>
              <w:rPr>
                <w:rFonts w:hint="eastAsia" w:ascii="宋体" w:hAnsi="宋体" w:eastAsia="宋体" w:cs="宋体"/>
                <w:sz w:val="21"/>
                <w:szCs w:val="21"/>
              </w:rPr>
              <w:t>整洁安全</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rFonts w:hint="eastAsia" w:ascii="宋体" w:hAnsi="宋体" w:eastAsia="宋体" w:cs="宋体"/>
                <w:sz w:val="21"/>
                <w:szCs w:val="21"/>
                <w:lang w:val="en-US" w:eastAsia="zh-CN"/>
              </w:rPr>
            </w:pPr>
          </w:p>
        </w:tc>
        <w:tc>
          <w:tcPr>
            <w:tcW w:w="397" w:type="pct"/>
            <w:noWrap w:val="0"/>
            <w:vAlign w:val="center"/>
          </w:tcPr>
          <w:p>
            <w:pPr>
              <w:spacing w:line="320" w:lineRule="exact"/>
              <w:jc w:val="left"/>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color w:val="000000"/>
                <w:sz w:val="21"/>
                <w:szCs w:val="21"/>
                <w:lang w:val="en-US" w:eastAsia="zh-CN"/>
              </w:rPr>
              <w:t>7</w:t>
            </w:r>
          </w:p>
        </w:tc>
        <w:tc>
          <w:tcPr>
            <w:tcW w:w="439" w:type="pct"/>
            <w:noWrap w:val="0"/>
            <w:vAlign w:val="center"/>
          </w:tcPr>
          <w:p>
            <w:pP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sz w:val="21"/>
                <w:szCs w:val="21"/>
              </w:rPr>
              <w:t>主机</w:t>
            </w:r>
            <w:r>
              <w:rPr>
                <w:rFonts w:hint="eastAsia" w:ascii="宋体" w:hAnsi="宋体" w:eastAsia="宋体" w:cs="宋体"/>
                <w:sz w:val="21"/>
                <w:szCs w:val="21"/>
                <w:lang w:val="en-US" w:eastAsia="zh-CN"/>
              </w:rPr>
              <w:t>托架</w:t>
            </w:r>
          </w:p>
        </w:tc>
        <w:tc>
          <w:tcPr>
            <w:tcW w:w="1817" w:type="pct"/>
            <w:noWrap w:val="0"/>
            <w:vAlign w:val="center"/>
          </w:tcPr>
          <w:p>
            <w:pP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sz w:val="21"/>
                <w:szCs w:val="21"/>
              </w:rPr>
              <w:t>悬挂式主机安装架构，可自适应不同尺寸的主机箱尺寸，</w:t>
            </w:r>
            <w:r>
              <w:rPr>
                <w:rFonts w:hint="eastAsia" w:ascii="宋体" w:hAnsi="宋体" w:eastAsia="宋体" w:cs="宋体"/>
                <w:sz w:val="21"/>
                <w:szCs w:val="21"/>
                <w:lang w:val="en-US" w:eastAsia="zh-CN"/>
              </w:rPr>
              <w:t>最多</w:t>
            </w:r>
            <w:r>
              <w:rPr>
                <w:rFonts w:hint="eastAsia" w:ascii="宋体" w:hAnsi="宋体" w:eastAsia="宋体" w:cs="宋体"/>
                <w:sz w:val="21"/>
                <w:szCs w:val="21"/>
              </w:rPr>
              <w:t>可集成两台主机，实现多配置应用</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rFonts w:hint="eastAsia" w:ascii="宋体" w:hAnsi="宋体" w:eastAsia="宋体" w:cs="宋体"/>
                <w:sz w:val="21"/>
                <w:szCs w:val="21"/>
                <w:lang w:val="en-US" w:eastAsia="zh-CN"/>
              </w:rPr>
            </w:pPr>
          </w:p>
        </w:tc>
        <w:tc>
          <w:tcPr>
            <w:tcW w:w="397" w:type="pct"/>
            <w:noWrap w:val="0"/>
            <w:vAlign w:val="center"/>
          </w:tcPr>
          <w:p>
            <w:pPr>
              <w:spacing w:line="320" w:lineRule="exact"/>
              <w:jc w:val="left"/>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color w:val="000000"/>
                <w:sz w:val="21"/>
                <w:szCs w:val="21"/>
                <w:lang w:val="en-US" w:eastAsia="zh-CN"/>
              </w:rPr>
              <w:t>9</w:t>
            </w:r>
            <w:r>
              <w:rPr>
                <w:rFonts w:hint="eastAsia" w:ascii="宋体" w:hAnsi="宋体" w:eastAsia="宋体" w:cs="宋体"/>
                <w:color w:val="000000"/>
                <w:sz w:val="21"/>
                <w:szCs w:val="21"/>
              </w:rPr>
              <w:t xml:space="preserve">  </w:t>
            </w:r>
          </w:p>
        </w:tc>
        <w:tc>
          <w:tcPr>
            <w:tcW w:w="439" w:type="pct"/>
            <w:noWrap w:val="0"/>
            <w:vAlign w:val="center"/>
          </w:tcPr>
          <w:p>
            <w:pP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sz w:val="21"/>
                <w:szCs w:val="21"/>
              </w:rPr>
              <w:t>台面规格</w:t>
            </w:r>
          </w:p>
        </w:tc>
        <w:tc>
          <w:tcPr>
            <w:tcW w:w="1817" w:type="pct"/>
            <w:noWrap w:val="0"/>
            <w:vAlign w:val="center"/>
          </w:tcPr>
          <w:p>
            <w:pP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sz w:val="21"/>
                <w:szCs w:val="21"/>
              </w:rPr>
              <w:t>≥1.5*0.75M</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rFonts w:hint="eastAsia" w:ascii="宋体" w:hAnsi="宋体" w:eastAsia="宋体" w:cs="宋体"/>
                <w:sz w:val="21"/>
                <w:szCs w:val="21"/>
                <w:lang w:val="en-US" w:eastAsia="zh-CN"/>
              </w:rPr>
            </w:pPr>
          </w:p>
        </w:tc>
        <w:tc>
          <w:tcPr>
            <w:tcW w:w="397" w:type="pct"/>
            <w:noWrap w:val="0"/>
            <w:vAlign w:val="center"/>
          </w:tcPr>
          <w:p>
            <w:pPr>
              <w:spacing w:line="320" w:lineRule="exact"/>
              <w:jc w:val="left"/>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color w:val="000000"/>
                <w:sz w:val="21"/>
                <w:szCs w:val="21"/>
              </w:rPr>
              <w:t>1</w:t>
            </w:r>
            <w:r>
              <w:rPr>
                <w:rFonts w:hint="eastAsia" w:ascii="宋体" w:hAnsi="宋体" w:eastAsia="宋体" w:cs="宋体"/>
                <w:color w:val="000000"/>
                <w:sz w:val="21"/>
                <w:szCs w:val="21"/>
                <w:lang w:val="en-US" w:eastAsia="zh-CN"/>
              </w:rPr>
              <w:t>0</w:t>
            </w:r>
            <w:r>
              <w:rPr>
                <w:rFonts w:hint="eastAsia" w:ascii="宋体" w:hAnsi="宋体" w:eastAsia="宋体" w:cs="宋体"/>
                <w:color w:val="000000"/>
                <w:sz w:val="21"/>
                <w:szCs w:val="21"/>
              </w:rPr>
              <w:t xml:space="preserve">  </w:t>
            </w:r>
            <w:r>
              <w:rPr>
                <w:rFonts w:hint="eastAsia" w:ascii="宋体" w:hAnsi="宋体" w:eastAsia="宋体" w:cs="宋体"/>
                <w:i w:val="0"/>
                <w:iCs w:val="0"/>
                <w:color w:val="000000"/>
                <w:kern w:val="0"/>
                <w:sz w:val="21"/>
                <w:szCs w:val="21"/>
                <w:u w:val="none"/>
                <w:lang w:val="en-US" w:eastAsia="zh-CN" w:bidi="ar"/>
              </w:rPr>
              <w:t>▲</w:t>
            </w:r>
          </w:p>
        </w:tc>
        <w:tc>
          <w:tcPr>
            <w:tcW w:w="439" w:type="pct"/>
            <w:noWrap w:val="0"/>
            <w:vAlign w:val="center"/>
          </w:tcPr>
          <w:p>
            <w:pP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sz w:val="21"/>
                <w:szCs w:val="21"/>
              </w:rPr>
              <w:t>平台高度调节</w:t>
            </w:r>
          </w:p>
        </w:tc>
        <w:tc>
          <w:tcPr>
            <w:tcW w:w="1817" w:type="pct"/>
            <w:noWrap w:val="0"/>
            <w:vAlign w:val="center"/>
          </w:tcPr>
          <w:p>
            <w:pP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sz w:val="21"/>
                <w:szCs w:val="21"/>
              </w:rPr>
              <w:t>采用电动马达蜗轮蜗杆传动升降，霍尔传感器数据传输，双电机同步控制系统，噪音低、同步平稳升降，升降速度35mm/s。具备LED显示控制器、可预设高度≥4个、一键记忆高度功能，高度可调节至120cm，满足坐位和站立位阅片需要。过载保护、过压保护、过流保护、遇阻保护等安全保护功能</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rFonts w:hint="eastAsia" w:ascii="宋体" w:hAnsi="宋体" w:eastAsia="宋体" w:cs="宋体"/>
                <w:sz w:val="21"/>
                <w:szCs w:val="21"/>
                <w:lang w:val="en-US" w:eastAsia="zh-CN"/>
              </w:rPr>
            </w:pPr>
          </w:p>
        </w:tc>
        <w:tc>
          <w:tcPr>
            <w:tcW w:w="397" w:type="pct"/>
            <w:noWrap w:val="0"/>
            <w:vAlign w:val="center"/>
          </w:tcPr>
          <w:p>
            <w:pPr>
              <w:spacing w:line="320" w:lineRule="exact"/>
              <w:jc w:val="left"/>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color w:val="000000"/>
                <w:sz w:val="21"/>
                <w:szCs w:val="21"/>
              </w:rPr>
              <w:t>1</w:t>
            </w:r>
            <w:r>
              <w:rPr>
                <w:rFonts w:hint="eastAsia" w:ascii="宋体" w:hAnsi="宋体" w:eastAsia="宋体" w:cs="宋体"/>
                <w:color w:val="000000"/>
                <w:sz w:val="21"/>
                <w:szCs w:val="21"/>
                <w:lang w:val="en-US" w:eastAsia="zh-CN"/>
              </w:rPr>
              <w:t>1</w:t>
            </w:r>
          </w:p>
        </w:tc>
        <w:tc>
          <w:tcPr>
            <w:tcW w:w="439" w:type="pct"/>
            <w:noWrap w:val="0"/>
            <w:vAlign w:val="center"/>
          </w:tcPr>
          <w:p>
            <w:pP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sz w:val="21"/>
                <w:szCs w:val="21"/>
              </w:rPr>
              <w:t>阅片座椅</w:t>
            </w:r>
          </w:p>
        </w:tc>
        <w:tc>
          <w:tcPr>
            <w:tcW w:w="1817" w:type="pct"/>
            <w:noWrap w:val="0"/>
            <w:vAlign w:val="center"/>
          </w:tcPr>
          <w:p>
            <w:pP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sz w:val="21"/>
                <w:szCs w:val="21"/>
              </w:rPr>
              <w:t>符合人体工程学设计要求，颈部、背部贴合支撑，椅面高度可调节，</w:t>
            </w:r>
            <w:r>
              <w:rPr>
                <w:rFonts w:hint="eastAsia" w:ascii="宋体" w:hAnsi="宋体" w:eastAsia="宋体" w:cs="宋体"/>
                <w:sz w:val="21"/>
                <w:szCs w:val="21"/>
                <w:lang w:val="en-US" w:eastAsia="zh-CN"/>
              </w:rPr>
              <w:t>左右</w:t>
            </w:r>
            <w:r>
              <w:rPr>
                <w:rFonts w:hint="eastAsia" w:ascii="宋体" w:hAnsi="宋体" w:eastAsia="宋体" w:cs="宋体"/>
                <w:sz w:val="21"/>
                <w:szCs w:val="21"/>
              </w:rPr>
              <w:t>扶手</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399" w:type="pct"/>
            <w:vMerge w:val="continue"/>
            <w:noWrap w:val="0"/>
            <w:vAlign w:val="center"/>
          </w:tcPr>
          <w:p>
            <w:pPr>
              <w:spacing w:line="360" w:lineRule="auto"/>
              <w:jc w:val="center"/>
              <w:rPr>
                <w:rFonts w:hint="eastAsia" w:ascii="宋体" w:hAnsi="宋体" w:eastAsia="宋体" w:cs="宋体"/>
                <w:sz w:val="21"/>
                <w:szCs w:val="21"/>
                <w:lang w:val="en-US" w:eastAsia="zh-CN"/>
              </w:rPr>
            </w:pPr>
          </w:p>
        </w:tc>
        <w:tc>
          <w:tcPr>
            <w:tcW w:w="397" w:type="pct"/>
            <w:noWrap w:val="0"/>
            <w:vAlign w:val="center"/>
          </w:tcPr>
          <w:p>
            <w:pPr>
              <w:numPr>
                <w:ilvl w:val="0"/>
                <w:numId w:val="2"/>
              </w:numPr>
              <w:spacing w:line="320" w:lineRule="exact"/>
              <w:ind w:left="420" w:leftChars="0" w:hanging="420" w:firstLineChars="0"/>
              <w:jc w:val="both"/>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w:t>
            </w:r>
          </w:p>
        </w:tc>
        <w:tc>
          <w:tcPr>
            <w:tcW w:w="439" w:type="pct"/>
            <w:noWrap w:val="0"/>
            <w:vAlign w:val="center"/>
          </w:tcPr>
          <w:p>
            <w:pPr>
              <w:keepNext w:val="0"/>
              <w:keepLines w:val="0"/>
              <w:widowControl/>
              <w:suppressLineNumbers w:val="0"/>
              <w:spacing w:line="240" w:lineRule="auto"/>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2"/>
                <w:sz w:val="21"/>
                <w:szCs w:val="21"/>
                <w:u w:val="none"/>
                <w:lang w:val="en-US" w:eastAsia="zh-CN" w:bidi="ar-SA"/>
              </w:rPr>
              <w:t>产品要求</w:t>
            </w:r>
          </w:p>
        </w:tc>
        <w:tc>
          <w:tcPr>
            <w:tcW w:w="1817" w:type="pct"/>
            <w:noWrap w:val="0"/>
            <w:vAlign w:val="center"/>
          </w:tcPr>
          <w:p>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为使图像显示稳定，产品需与86"临床教学显示中心为同一品牌</w:t>
            </w:r>
          </w:p>
        </w:tc>
        <w:tc>
          <w:tcPr>
            <w:tcW w:w="633" w:type="pct"/>
            <w:noWrap w:val="0"/>
            <w:vAlign w:val="top"/>
          </w:tcPr>
          <w:p>
            <w:pPr>
              <w:spacing w:line="360" w:lineRule="auto"/>
              <w:jc w:val="center"/>
              <w:rPr>
                <w:color w:val="auto"/>
                <w:sz w:val="21"/>
                <w:szCs w:val="21"/>
                <w:highlight w:val="none"/>
              </w:rPr>
            </w:pPr>
          </w:p>
        </w:tc>
        <w:tc>
          <w:tcPr>
            <w:tcW w:w="846" w:type="pct"/>
            <w:noWrap w:val="0"/>
            <w:vAlign w:val="top"/>
          </w:tcPr>
          <w:p>
            <w:pPr>
              <w:spacing w:line="360" w:lineRule="auto"/>
              <w:jc w:val="center"/>
              <w:rPr>
                <w:color w:val="auto"/>
                <w:sz w:val="21"/>
                <w:szCs w:val="21"/>
                <w:highlight w:val="none"/>
              </w:rPr>
            </w:pPr>
          </w:p>
        </w:tc>
        <w:tc>
          <w:tcPr>
            <w:tcW w:w="466" w:type="pct"/>
            <w:noWrap w:val="0"/>
            <w:vAlign w:val="top"/>
          </w:tcPr>
          <w:p>
            <w:pPr>
              <w:spacing w:line="360" w:lineRule="auto"/>
              <w:jc w:val="center"/>
              <w:rPr>
                <w:color w:val="auto"/>
                <w:sz w:val="21"/>
                <w:szCs w:val="21"/>
                <w:highlight w:val="none"/>
              </w:rPr>
            </w:pPr>
          </w:p>
        </w:tc>
      </w:tr>
    </w:tbl>
    <w:p>
      <w:pPr>
        <w:spacing w:line="240" w:lineRule="exact"/>
        <w:rPr>
          <w:rFonts w:hint="eastAsia" w:ascii="宋体" w:hAnsi="宋体" w:eastAsia="宋体" w:cs="宋体"/>
          <w:b/>
          <w:color w:val="auto"/>
          <w:sz w:val="21"/>
          <w:szCs w:val="21"/>
          <w:highlight w:val="none"/>
        </w:rPr>
      </w:pPr>
      <w:r>
        <w:rPr>
          <w:rFonts w:hint="eastAsia" w:ascii="宋体" w:hAnsi="宋体" w:cs="宋体"/>
          <w:bCs/>
          <w:color w:val="auto"/>
          <w:sz w:val="21"/>
          <w:szCs w:val="21"/>
          <w:highlight w:val="none"/>
        </w:rPr>
        <w:t xml:space="preserve">       </w:t>
      </w:r>
    </w:p>
    <w:p>
      <w:pPr>
        <w:autoSpaceDE w:val="0"/>
        <w:autoSpaceDN w:val="0"/>
        <w:spacing w:line="400" w:lineRule="exact"/>
        <w:ind w:firstLine="420"/>
        <w:rPr>
          <w:rFonts w:ascii="宋体" w:hAnsi="宋体"/>
          <w:color w:val="auto"/>
          <w:sz w:val="21"/>
          <w:highlight w:val="none"/>
        </w:rPr>
      </w:pPr>
      <w:r>
        <w:rPr>
          <w:rFonts w:ascii="宋体" w:hAnsi="宋体"/>
          <w:color w:val="auto"/>
          <w:sz w:val="21"/>
          <w:highlight w:val="none"/>
        </w:rPr>
        <w:t>注：1.如</w:t>
      </w:r>
      <w:r>
        <w:rPr>
          <w:rFonts w:hint="eastAsia" w:ascii="宋体" w:hAnsi="宋体"/>
          <w:color w:val="auto"/>
          <w:sz w:val="21"/>
          <w:highlight w:val="none"/>
          <w:lang w:val="en-US" w:eastAsia="zh-CN"/>
        </w:rPr>
        <w:t>响应文件</w:t>
      </w:r>
      <w:r>
        <w:rPr>
          <w:rFonts w:ascii="宋体" w:hAnsi="宋体"/>
          <w:color w:val="auto"/>
          <w:sz w:val="21"/>
          <w:highlight w:val="none"/>
        </w:rPr>
        <w:t>与采购文件的要求存在正偏离，请在“偏差内容”处填写“正偏离”。</w:t>
      </w:r>
    </w:p>
    <w:p>
      <w:pPr>
        <w:autoSpaceDE w:val="0"/>
        <w:autoSpaceDN w:val="0"/>
        <w:spacing w:line="400" w:lineRule="exact"/>
        <w:ind w:firstLine="420"/>
        <w:rPr>
          <w:rFonts w:ascii="宋体" w:hAnsi="宋体"/>
          <w:color w:val="auto"/>
          <w:sz w:val="21"/>
          <w:highlight w:val="none"/>
        </w:rPr>
      </w:pPr>
      <w:r>
        <w:rPr>
          <w:rFonts w:ascii="宋体" w:hAnsi="宋体"/>
          <w:color w:val="auto"/>
          <w:sz w:val="21"/>
          <w:highlight w:val="none"/>
        </w:rPr>
        <w:t>2.如</w:t>
      </w:r>
      <w:r>
        <w:rPr>
          <w:rFonts w:hint="eastAsia" w:ascii="宋体" w:hAnsi="宋体"/>
          <w:color w:val="auto"/>
          <w:sz w:val="21"/>
          <w:highlight w:val="none"/>
          <w:lang w:val="en-US" w:eastAsia="zh-CN"/>
        </w:rPr>
        <w:t>响应文件</w:t>
      </w:r>
      <w:r>
        <w:rPr>
          <w:rFonts w:ascii="宋体" w:hAnsi="宋体"/>
          <w:color w:val="auto"/>
          <w:sz w:val="21"/>
          <w:highlight w:val="none"/>
        </w:rPr>
        <w:t>与采购文件的要求存在负偏离，请在“偏差内容”处填写“负偏离”。</w:t>
      </w:r>
    </w:p>
    <w:p>
      <w:pPr>
        <w:autoSpaceDE w:val="0"/>
        <w:autoSpaceDN w:val="0"/>
        <w:spacing w:line="400" w:lineRule="exact"/>
        <w:ind w:firstLine="420"/>
        <w:rPr>
          <w:rFonts w:ascii="宋体" w:hAnsi="宋体"/>
          <w:color w:val="auto"/>
          <w:sz w:val="21"/>
          <w:highlight w:val="none"/>
        </w:rPr>
      </w:pPr>
      <w:r>
        <w:rPr>
          <w:rFonts w:ascii="宋体" w:hAnsi="宋体"/>
          <w:color w:val="auto"/>
          <w:sz w:val="21"/>
          <w:highlight w:val="none"/>
        </w:rPr>
        <w:t>3. 如</w:t>
      </w:r>
      <w:r>
        <w:rPr>
          <w:rFonts w:hint="eastAsia" w:ascii="宋体" w:hAnsi="宋体"/>
          <w:color w:val="auto"/>
          <w:sz w:val="21"/>
          <w:highlight w:val="none"/>
          <w:lang w:val="en-US" w:eastAsia="zh-CN"/>
        </w:rPr>
        <w:t>响应文件</w:t>
      </w:r>
      <w:r>
        <w:rPr>
          <w:rFonts w:ascii="宋体" w:hAnsi="宋体"/>
          <w:color w:val="auto"/>
          <w:sz w:val="21"/>
          <w:highlight w:val="none"/>
        </w:rPr>
        <w:t>与采购文件的要求无偏离，请在“偏差内容”处填写“无”。</w:t>
      </w:r>
    </w:p>
    <w:p>
      <w:pPr>
        <w:autoSpaceDE w:val="0"/>
        <w:autoSpaceDN w:val="0"/>
        <w:spacing w:line="400" w:lineRule="exact"/>
        <w:ind w:firstLine="420"/>
        <w:rPr>
          <w:rFonts w:ascii="宋体" w:hAnsi="宋体"/>
          <w:color w:val="auto"/>
          <w:sz w:val="21"/>
          <w:highlight w:val="none"/>
        </w:rPr>
      </w:pPr>
      <w:r>
        <w:rPr>
          <w:rFonts w:ascii="宋体" w:hAnsi="宋体"/>
          <w:color w:val="auto"/>
          <w:sz w:val="21"/>
          <w:highlight w:val="none"/>
        </w:rPr>
        <w:t>4.本表可以按相同格式扩展；</w:t>
      </w:r>
    </w:p>
    <w:p>
      <w:pPr>
        <w:spacing w:line="400" w:lineRule="exact"/>
        <w:ind w:firstLine="420"/>
        <w:rPr>
          <w:rFonts w:ascii="宋体" w:hAnsi="宋体"/>
          <w:color w:val="auto"/>
          <w:sz w:val="21"/>
          <w:highlight w:val="none"/>
        </w:rPr>
      </w:pPr>
    </w:p>
    <w:p>
      <w:pPr>
        <w:spacing w:beforeLines="50" w:line="500" w:lineRule="exact"/>
        <w:rPr>
          <w:rFonts w:ascii="宋体" w:hAnsi="宋体" w:cs="宋体"/>
          <w:color w:val="auto"/>
          <w:sz w:val="21"/>
          <w:highlight w:val="none"/>
        </w:rPr>
      </w:pPr>
      <w:r>
        <w:rPr>
          <w:rFonts w:hint="eastAsia" w:ascii="宋体" w:hAnsi="宋体" w:cs="宋体"/>
          <w:color w:val="auto"/>
          <w:sz w:val="21"/>
          <w:highlight w:val="none"/>
        </w:rPr>
        <w:t>供应商名称（单位公章）：</w:t>
      </w:r>
    </w:p>
    <w:p>
      <w:pPr>
        <w:spacing w:beforeLines="50" w:line="500" w:lineRule="exact"/>
        <w:rPr>
          <w:rFonts w:ascii="宋体" w:hAnsi="宋体" w:cs="宋体"/>
          <w:color w:val="auto"/>
          <w:sz w:val="21"/>
          <w:highlight w:val="none"/>
        </w:rPr>
      </w:pPr>
      <w:r>
        <w:rPr>
          <w:rFonts w:hint="eastAsia" w:ascii="宋体" w:hAnsi="宋体" w:cs="宋体"/>
          <w:color w:val="auto"/>
          <w:sz w:val="21"/>
          <w:highlight w:val="none"/>
        </w:rPr>
        <w:t>供应商法定代表人（负责人）或其委托代理人（签字或盖章）：</w:t>
      </w:r>
    </w:p>
    <w:p>
      <w:pPr>
        <w:spacing w:beforeLines="50" w:line="500" w:lineRule="exact"/>
        <w:rPr>
          <w:rFonts w:ascii="宋体" w:hAnsi="宋体" w:cs="宋体"/>
          <w:color w:val="auto"/>
          <w:sz w:val="21"/>
          <w:highlight w:val="none"/>
        </w:rPr>
      </w:pPr>
      <w:r>
        <w:rPr>
          <w:rFonts w:hint="eastAsia" w:ascii="宋体" w:hAnsi="宋体" w:cs="宋体"/>
          <w:color w:val="auto"/>
          <w:sz w:val="21"/>
          <w:highlight w:val="none"/>
        </w:rPr>
        <w:t>日期：</w:t>
      </w:r>
      <w:r>
        <w:rPr>
          <w:rFonts w:hint="eastAsia" w:ascii="宋体" w:hAnsi="宋体" w:cs="宋体"/>
          <w:color w:val="auto"/>
          <w:sz w:val="21"/>
          <w:highlight w:val="none"/>
          <w:lang w:val="en-US" w:eastAsia="zh-CN"/>
        </w:rPr>
        <w:t xml:space="preserve">    </w:t>
      </w:r>
      <w:r>
        <w:rPr>
          <w:rFonts w:hint="eastAsia" w:ascii="宋体" w:hAnsi="宋体" w:cs="宋体"/>
          <w:color w:val="auto"/>
          <w:sz w:val="21"/>
          <w:highlight w:val="none"/>
        </w:rPr>
        <w:t xml:space="preserve">年 </w:t>
      </w:r>
      <w:r>
        <w:rPr>
          <w:rFonts w:hint="eastAsia" w:ascii="宋体" w:hAnsi="宋体" w:cs="宋体"/>
          <w:color w:val="auto"/>
          <w:sz w:val="21"/>
          <w:highlight w:val="none"/>
          <w:lang w:val="en-US" w:eastAsia="zh-CN"/>
        </w:rPr>
        <w:t xml:space="preserve">  </w:t>
      </w:r>
      <w:r>
        <w:rPr>
          <w:rFonts w:hint="eastAsia" w:ascii="宋体" w:hAnsi="宋体" w:cs="宋体"/>
          <w:color w:val="auto"/>
          <w:sz w:val="21"/>
          <w:highlight w:val="none"/>
        </w:rPr>
        <w:t xml:space="preserve">月 </w:t>
      </w:r>
      <w:r>
        <w:rPr>
          <w:rFonts w:hint="eastAsia" w:ascii="宋体" w:hAnsi="宋体" w:cs="宋体"/>
          <w:color w:val="auto"/>
          <w:sz w:val="21"/>
          <w:highlight w:val="none"/>
          <w:lang w:val="en-US" w:eastAsia="zh-CN"/>
        </w:rPr>
        <w:t xml:space="preserve">  </w:t>
      </w:r>
      <w:r>
        <w:rPr>
          <w:rFonts w:hint="eastAsia" w:ascii="宋体" w:hAnsi="宋体" w:cs="宋体"/>
          <w:color w:val="auto"/>
          <w:sz w:val="21"/>
          <w:highlight w:val="none"/>
        </w:rPr>
        <w:t>日</w:t>
      </w:r>
    </w:p>
    <w:p/>
    <w:p>
      <w:pPr>
        <w:rPr>
          <w:rFonts w:hint="eastAsia" w:ascii="仿宋" w:hAnsi="仿宋" w:eastAsia="仿宋" w:cs="仿宋"/>
          <w:b/>
          <w:bCs/>
          <w:kern w:val="2"/>
          <w:sz w:val="28"/>
          <w:szCs w:val="28"/>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ì.">
    <w:altName w:val="微软雅黑"/>
    <w:panose1 w:val="00000000000000000000"/>
    <w:charset w:val="00"/>
    <w:family w:val="auto"/>
    <w:pitch w:val="default"/>
    <w:sig w:usb0="00000000" w:usb1="00000000" w:usb2="00000000" w:usb3="00000000" w:csb0="FFFFFFFF" w:csb1="00000000"/>
  </w:font>
  <w:font w:name="微软雅黑">
    <w:panose1 w:val="020B0503020204020204"/>
    <w:charset w:val="86"/>
    <w:family w:val="auto"/>
    <w:pitch w:val="default"/>
    <w:sig w:usb0="80000287" w:usb1="2ACF3C50" w:usb2="00000016" w:usb3="00000000" w:csb0="0004001F" w:csb1="00000000"/>
  </w:font>
  <w:font w:name="方正大标宋简体">
    <w:altName w:val="微软雅黑"/>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B25360"/>
    <w:multiLevelType w:val="singleLevel"/>
    <w:tmpl w:val="F2B25360"/>
    <w:lvl w:ilvl="0" w:tentative="0">
      <w:start w:val="1"/>
      <w:numFmt w:val="decimal"/>
      <w:lvlText w:val="%1."/>
      <w:lvlJc w:val="left"/>
      <w:pPr>
        <w:ind w:left="425" w:hanging="425"/>
      </w:pPr>
      <w:rPr>
        <w:rFonts w:hint="default"/>
      </w:rPr>
    </w:lvl>
  </w:abstractNum>
  <w:abstractNum w:abstractNumId="1">
    <w:nsid w:val="4F6066AF"/>
    <w:multiLevelType w:val="multilevel"/>
    <w:tmpl w:val="4F6066AF"/>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03F37"/>
    <w:rsid w:val="00AB055A"/>
    <w:rsid w:val="031C69F7"/>
    <w:rsid w:val="04090D29"/>
    <w:rsid w:val="0433224A"/>
    <w:rsid w:val="058663AA"/>
    <w:rsid w:val="05AC1459"/>
    <w:rsid w:val="060043AE"/>
    <w:rsid w:val="064B0A1E"/>
    <w:rsid w:val="06D00741"/>
    <w:rsid w:val="083E15A4"/>
    <w:rsid w:val="08544E34"/>
    <w:rsid w:val="0C0F7082"/>
    <w:rsid w:val="0C2801BA"/>
    <w:rsid w:val="0CC24188"/>
    <w:rsid w:val="0DBF533D"/>
    <w:rsid w:val="0E427EFC"/>
    <w:rsid w:val="0FCB1589"/>
    <w:rsid w:val="0FFC09F3"/>
    <w:rsid w:val="12C34799"/>
    <w:rsid w:val="134F24D1"/>
    <w:rsid w:val="14040228"/>
    <w:rsid w:val="14092680"/>
    <w:rsid w:val="144E77D5"/>
    <w:rsid w:val="1488184A"/>
    <w:rsid w:val="15995C85"/>
    <w:rsid w:val="176D102A"/>
    <w:rsid w:val="17E51656"/>
    <w:rsid w:val="18D94D16"/>
    <w:rsid w:val="193623F6"/>
    <w:rsid w:val="19E74DD7"/>
    <w:rsid w:val="1B121D04"/>
    <w:rsid w:val="1D4458CE"/>
    <w:rsid w:val="1F6D61B8"/>
    <w:rsid w:val="1FC16504"/>
    <w:rsid w:val="20F621DE"/>
    <w:rsid w:val="210C4DC5"/>
    <w:rsid w:val="21581FD4"/>
    <w:rsid w:val="21804BE9"/>
    <w:rsid w:val="21F11923"/>
    <w:rsid w:val="26655E3B"/>
    <w:rsid w:val="29B844D4"/>
    <w:rsid w:val="29F7415B"/>
    <w:rsid w:val="2A2647AB"/>
    <w:rsid w:val="2C76353C"/>
    <w:rsid w:val="2D04003C"/>
    <w:rsid w:val="2D0F6770"/>
    <w:rsid w:val="2E6458B5"/>
    <w:rsid w:val="2EA102B0"/>
    <w:rsid w:val="30346A24"/>
    <w:rsid w:val="30E7507B"/>
    <w:rsid w:val="319912E9"/>
    <w:rsid w:val="31B62590"/>
    <w:rsid w:val="32254B96"/>
    <w:rsid w:val="32D22AAA"/>
    <w:rsid w:val="32D54349"/>
    <w:rsid w:val="32DD601F"/>
    <w:rsid w:val="33DC367B"/>
    <w:rsid w:val="35A053DE"/>
    <w:rsid w:val="36B51671"/>
    <w:rsid w:val="39A105CE"/>
    <w:rsid w:val="3A4E4FF2"/>
    <w:rsid w:val="3C666012"/>
    <w:rsid w:val="3E3F57E8"/>
    <w:rsid w:val="3F1955BD"/>
    <w:rsid w:val="405A7C3B"/>
    <w:rsid w:val="41390199"/>
    <w:rsid w:val="42072836"/>
    <w:rsid w:val="42ED123B"/>
    <w:rsid w:val="447F207E"/>
    <w:rsid w:val="44E1092B"/>
    <w:rsid w:val="46FA7C98"/>
    <w:rsid w:val="49900B72"/>
    <w:rsid w:val="4A5D4B52"/>
    <w:rsid w:val="4A851D59"/>
    <w:rsid w:val="4ABD2F3C"/>
    <w:rsid w:val="4AE7656F"/>
    <w:rsid w:val="4C891E35"/>
    <w:rsid w:val="4CD474C2"/>
    <w:rsid w:val="4EC70B92"/>
    <w:rsid w:val="4F372E9D"/>
    <w:rsid w:val="500E56AC"/>
    <w:rsid w:val="5066262C"/>
    <w:rsid w:val="51404C2B"/>
    <w:rsid w:val="543842E0"/>
    <w:rsid w:val="54D538DD"/>
    <w:rsid w:val="557E3341"/>
    <w:rsid w:val="56A51590"/>
    <w:rsid w:val="56A654F0"/>
    <w:rsid w:val="572823EA"/>
    <w:rsid w:val="5744738F"/>
    <w:rsid w:val="57EF2F07"/>
    <w:rsid w:val="587C0C3F"/>
    <w:rsid w:val="5B8F6EDB"/>
    <w:rsid w:val="5DBE13B2"/>
    <w:rsid w:val="60765F74"/>
    <w:rsid w:val="61412A26"/>
    <w:rsid w:val="61477910"/>
    <w:rsid w:val="61980B90"/>
    <w:rsid w:val="61EF4D79"/>
    <w:rsid w:val="634E31D8"/>
    <w:rsid w:val="64B31329"/>
    <w:rsid w:val="6751773B"/>
    <w:rsid w:val="67907C07"/>
    <w:rsid w:val="67931B01"/>
    <w:rsid w:val="67EC2CB8"/>
    <w:rsid w:val="68152516"/>
    <w:rsid w:val="68295FC1"/>
    <w:rsid w:val="69EE569B"/>
    <w:rsid w:val="6A6169CC"/>
    <w:rsid w:val="6B2D7B77"/>
    <w:rsid w:val="6B6F111E"/>
    <w:rsid w:val="6C25542F"/>
    <w:rsid w:val="6EC10D02"/>
    <w:rsid w:val="6EFE3D04"/>
    <w:rsid w:val="6F671E3E"/>
    <w:rsid w:val="70E9686F"/>
    <w:rsid w:val="71813725"/>
    <w:rsid w:val="71C9055F"/>
    <w:rsid w:val="72501535"/>
    <w:rsid w:val="731D1A99"/>
    <w:rsid w:val="73F83BD5"/>
    <w:rsid w:val="745E33F8"/>
    <w:rsid w:val="7487654A"/>
    <w:rsid w:val="75B61AC7"/>
    <w:rsid w:val="76015C91"/>
    <w:rsid w:val="7615375C"/>
    <w:rsid w:val="76D076DC"/>
    <w:rsid w:val="77383B2B"/>
    <w:rsid w:val="786170B2"/>
    <w:rsid w:val="78ED23ED"/>
    <w:rsid w:val="79D073B9"/>
    <w:rsid w:val="7A394F81"/>
    <w:rsid w:val="7AAA01BE"/>
    <w:rsid w:val="7AB650F6"/>
    <w:rsid w:val="7C0F05F5"/>
    <w:rsid w:val="7FF870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1">
    <w:name w:val="Default Paragraph Font"/>
    <w:semiHidden/>
    <w:qFormat/>
    <w:uiPriority w:val="0"/>
  </w:style>
  <w:style w:type="table" w:default="1" w:styleId="10">
    <w:name w:val="Normal Table"/>
    <w:semiHidden/>
    <w:uiPriority w:val="0"/>
    <w:tblPr>
      <w:tblCellMar>
        <w:top w:w="0" w:type="dxa"/>
        <w:left w:w="108" w:type="dxa"/>
        <w:bottom w:w="0" w:type="dxa"/>
        <w:right w:w="108" w:type="dxa"/>
      </w:tblCellMar>
    </w:tblPr>
  </w:style>
  <w:style w:type="paragraph" w:styleId="3">
    <w:name w:val="Body Text"/>
    <w:basedOn w:val="1"/>
    <w:next w:val="4"/>
    <w:unhideWhenUsed/>
    <w:qFormat/>
    <w:uiPriority w:val="99"/>
    <w:rPr>
      <w:rFonts w:ascii="宋体" w:hAnsi="宋体"/>
      <w:szCs w:val="24"/>
    </w:rPr>
  </w:style>
  <w:style w:type="paragraph" w:customStyle="1" w:styleId="4">
    <w:name w:val="Default"/>
    <w:qFormat/>
    <w:uiPriority w:val="0"/>
    <w:pPr>
      <w:autoSpaceDE w:val="0"/>
      <w:autoSpaceDN w:val="0"/>
    </w:pPr>
    <w:rPr>
      <w:rFonts w:ascii="..ì." w:hAnsi="..ì." w:eastAsia="..ì." w:cs="Times New Roman"/>
      <w:color w:val="000000"/>
      <w:sz w:val="24"/>
      <w:szCs w:val="24"/>
      <w:lang w:val="en-US" w:eastAsia="zh-CN" w:bidi="ar-SA"/>
    </w:rPr>
  </w:style>
  <w:style w:type="paragraph" w:styleId="5">
    <w:name w:val="Body Text Indent"/>
    <w:basedOn w:val="1"/>
    <w:next w:val="1"/>
    <w:unhideWhenUsed/>
    <w:qFormat/>
    <w:uiPriority w:val="99"/>
    <w:pPr>
      <w:spacing w:after="120"/>
      <w:ind w:left="420" w:leftChars="200"/>
    </w:pPr>
  </w:style>
  <w:style w:type="paragraph" w:styleId="6">
    <w:name w:val="envelope return"/>
    <w:basedOn w:val="1"/>
    <w:qFormat/>
    <w:uiPriority w:val="99"/>
    <w:pPr>
      <w:snapToGrid w:val="0"/>
    </w:pPr>
    <w:rPr>
      <w:rFonts w:ascii="Arial" w:hAnsi="Arial"/>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w:basedOn w:val="3"/>
    <w:next w:val="9"/>
    <w:qFormat/>
    <w:uiPriority w:val="0"/>
    <w:pPr>
      <w:ind w:firstLine="420" w:firstLineChars="100"/>
    </w:pPr>
  </w:style>
  <w:style w:type="paragraph" w:styleId="9">
    <w:name w:val="Body Text First Indent 2"/>
    <w:basedOn w:val="5"/>
    <w:next w:val="8"/>
    <w:qFormat/>
    <w:uiPriority w:val="0"/>
    <w:pPr>
      <w:ind w:firstLine="420" w:firstLineChars="200"/>
    </w:pPr>
    <w:rPr>
      <w:szCs w:val="24"/>
      <w:u w:val="single"/>
    </w:rPr>
  </w:style>
  <w:style w:type="paragraph" w:customStyle="1" w:styleId="12">
    <w:name w:val="首行缩进"/>
    <w:basedOn w:val="13"/>
    <w:next w:val="1"/>
    <w:qFormat/>
    <w:uiPriority w:val="0"/>
    <w:pPr>
      <w:spacing w:line="360" w:lineRule="auto"/>
      <w:ind w:firstLine="480" w:firstLineChars="200"/>
    </w:pPr>
    <w:rPr>
      <w:rFonts w:ascii="宋体" w:hAnsi="宋体" w:cs="宋体"/>
      <w:kern w:val="0"/>
      <w:sz w:val="24"/>
      <w:szCs w:val="20"/>
    </w:rPr>
  </w:style>
  <w:style w:type="paragraph" w:customStyle="1" w:styleId="13">
    <w:name w:val="正文11"/>
    <w:next w:val="12"/>
    <w:qFormat/>
    <w:uiPriority w:val="0"/>
    <w:pPr>
      <w:widowControl w:val="0"/>
      <w:suppressAutoHyphens w:val="0"/>
      <w:bidi w:val="0"/>
      <w:spacing w:beforeLines="0" w:beforeAutospacing="0" w:afterLines="0" w:afterAutospacing="0"/>
      <w:jc w:val="both"/>
    </w:pPr>
    <w:rPr>
      <w:rFonts w:ascii="Calibri" w:hAnsi="Calibri" w:eastAsia="宋体" w:cs="Times New Roman"/>
      <w:color w:val="auto"/>
      <w:kern w:val="2"/>
      <w:sz w:val="21"/>
      <w:szCs w:val="24"/>
      <w:lang w:val="en-US" w:eastAsia="zh-CN" w:bidi="ar-SA"/>
    </w:rPr>
  </w:style>
  <w:style w:type="paragraph" w:styleId="14">
    <w:name w:val="List Paragraph"/>
    <w:basedOn w:val="1"/>
    <w:next w:val="1"/>
    <w:qFormat/>
    <w:uiPriority w:val="99"/>
    <w:pPr>
      <w:ind w:firstLine="420" w:firstLineChars="200"/>
    </w:pPr>
    <w:rPr>
      <w:rFonts w:ascii="Calibri" w:hAnsi="Calibri"/>
      <w:szCs w:val="22"/>
    </w:rPr>
  </w:style>
  <w:style w:type="paragraph" w:customStyle="1" w:styleId="15">
    <w:name w:val="正文 New"/>
    <w:basedOn w:val="1"/>
    <w:qFormat/>
    <w:uiPriority w:val="0"/>
  </w:style>
  <w:style w:type="paragraph" w:customStyle="1" w:styleId="16">
    <w:name w:val="正文文本首行缩进 2"/>
    <w:basedOn w:val="17"/>
    <w:qFormat/>
    <w:uiPriority w:val="0"/>
    <w:pPr>
      <w:spacing w:before="100" w:beforeAutospacing="1" w:line="273" w:lineRule="auto"/>
      <w:ind w:firstLine="420" w:firstLineChars="200"/>
      <w:jc w:val="left"/>
    </w:pPr>
    <w:rPr>
      <w:rFonts w:ascii="Calibri" w:hAnsi="Calibri"/>
      <w:sz w:val="22"/>
      <w:szCs w:val="22"/>
    </w:rPr>
  </w:style>
  <w:style w:type="paragraph" w:customStyle="1" w:styleId="17">
    <w:name w:val="正文文本缩进1"/>
    <w:basedOn w:val="1"/>
    <w:qFormat/>
    <w:uiPriority w:val="0"/>
    <w:pPr>
      <w:spacing w:line="200" w:lineRule="exact"/>
      <w:ind w:firstLine="301"/>
    </w:pPr>
    <w:rPr>
      <w:rFonts w:ascii="宋体" w:hAnsi="Courier New"/>
      <w:spacing w:val="-4"/>
      <w:sz w:val="18"/>
      <w:szCs w:val="20"/>
    </w:rPr>
  </w:style>
  <w:style w:type="paragraph" w:customStyle="1" w:styleId="18">
    <w:name w:val="批注文字1"/>
    <w:basedOn w:val="1"/>
    <w:qFormat/>
    <w:uiPriority w:val="0"/>
    <w:pPr>
      <w:jc w:val="left"/>
    </w:pPr>
    <w:rPr>
      <w:lang w:val="en-US" w:eastAsia="en-US"/>
    </w:rPr>
  </w:style>
  <w:style w:type="paragraph" w:customStyle="1" w:styleId="19">
    <w:name w:val="样式3"/>
    <w:basedOn w:val="1"/>
    <w:qFormat/>
    <w:uiPriority w:val="0"/>
    <w:pPr>
      <w:spacing w:line="480" w:lineRule="exact"/>
      <w:jc w:val="center"/>
    </w:pPr>
    <w:rPr>
      <w:rFonts w:ascii="Arial" w:hAnsi="Arial" w:eastAsia="黑体"/>
      <w:spacing w:val="6"/>
      <w:sz w:val="32"/>
    </w:rPr>
  </w:style>
  <w:style w:type="paragraph" w:customStyle="1" w:styleId="20">
    <w:name w:val="样式7"/>
    <w:basedOn w:val="1"/>
    <w:qFormat/>
    <w:uiPriority w:val="0"/>
    <w:pPr>
      <w:spacing w:line="480" w:lineRule="exact"/>
      <w:jc w:val="center"/>
    </w:pPr>
    <w:rPr>
      <w:rFonts w:eastAsia="方正大标宋简体"/>
      <w:spacing w:val="6"/>
      <w:sz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3404</Words>
  <Characters>3944</Characters>
  <Lines>0</Lines>
  <Paragraphs>0</Paragraphs>
  <TotalTime>66</TotalTime>
  <ScaleCrop>false</ScaleCrop>
  <LinksUpToDate>false</LinksUpToDate>
  <CharactersWithSpaces>3997</CharactersWithSpaces>
  <Application>WPS Office_11.8.2.10972_F1E327BC-269C-435d-A152-05C5408002CA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2025-01-07T02:22:00Z</dcterms:created>
  <dc:creator>Administrator</dc:creator>
  <cp:lastModifiedBy>86135</cp:lastModifiedBy>
  <dcterms:modified xsi:type="dcterms:W3CDTF">2026-07-15T02:41:44Z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KSOTemplateDocerSaveRecord">
    <vt:lpwstr>eyJoZGlkIjoiYTUwMDhhOTIzNWE4YjAxZmIzM2MzYTY3MWY3OTkzMzUiLCJ1c2VySWQiOiIyNTUwMTg4NTMifQ==</vt:lpwstr>
  </property>
  <property fmtid="{D5CDD505-2E9C-101B-9397-08002B2CF9AE}" pid="4" name="ICV">
    <vt:lpwstr>0B08AFE05784443EAFC6B4632F6B4497</vt:lpwstr>
  </property>
</Properties>
</file>