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A3B93">
      <w:pPr>
        <w:keepNext w:val="0"/>
        <w:keepLines w:val="0"/>
        <w:pageBreakBefore w:val="0"/>
        <w:widowControl w:val="0"/>
        <w:kinsoku/>
        <w:wordWrap/>
        <w:overflowPunct/>
        <w:topLinePunct w:val="0"/>
        <w:autoSpaceDE/>
        <w:autoSpaceDN/>
        <w:bidi w:val="0"/>
        <w:adjustRightInd/>
        <w:snapToGrid/>
        <w:spacing w:line="580" w:lineRule="exact"/>
        <w:ind w:firstLine="883" w:firstLineChars="200"/>
        <w:jc w:val="center"/>
        <w:textAlignment w:val="auto"/>
        <w:rPr>
          <w:rFonts w:hint="eastAsia"/>
          <w:b/>
          <w:bCs/>
          <w:sz w:val="44"/>
          <w:szCs w:val="44"/>
          <w:lang w:val="en-US" w:eastAsia="zh-CN"/>
        </w:rPr>
      </w:pPr>
      <w:r>
        <w:rPr>
          <w:rFonts w:hint="eastAsia"/>
          <w:b/>
          <w:bCs/>
          <w:sz w:val="44"/>
          <w:szCs w:val="44"/>
          <w:lang w:val="en-US" w:eastAsia="zh-CN"/>
        </w:rPr>
        <w:t>鄄城县人民医院中医生活化体验馆设计方案和施工报价项目参数</w:t>
      </w:r>
    </w:p>
    <w:p w14:paraId="44083C7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菏泽昌源健康服务有限公司计划在鄄城县人民医院新院区门诊大厅一楼医疗主街北部新增一处中医生活化体验馆，东西9 米，南北15 米，高2.7米，无吊顶，总面积145 平米。</w:t>
      </w:r>
      <w:bookmarkStart w:id="0" w:name="_GoBack"/>
      <w:bookmarkEnd w:id="0"/>
    </w:p>
    <w:p w14:paraId="0B5636A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设计要求：在南北面各开一道门。南门为太极门，北门为玻璃隔断门但不常开。里边涵盖中医文化、中医生活化体验、中药代茶饮、药食同源、柜台售卖中药饮片以及一些文玩、中医脉诊、附带咖啡面包区域。</w:t>
      </w:r>
    </w:p>
    <w:p w14:paraId="1387188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Theme="minorEastAsia"/>
          <w:sz w:val="32"/>
          <w:szCs w:val="32"/>
          <w:lang w:eastAsia="zh-CN"/>
        </w:rPr>
      </w:pPr>
      <w:r>
        <w:rPr>
          <w:rFonts w:hint="eastAsia"/>
          <w:sz w:val="32"/>
          <w:szCs w:val="32"/>
          <w:lang w:val="en-US" w:eastAsia="zh-CN"/>
        </w:rPr>
        <w:t>一、设计理念建议（参与人员开展设计工作时，可不受以下5点内容局限）</w:t>
      </w:r>
    </w:p>
    <w:p w14:paraId="4A8E46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1、序厅（接待+文化展示区）</w:t>
      </w:r>
    </w:p>
    <w:p w14:paraId="66B4CD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核心功能：访客接待登记、客流引导分流、中医文化氛围营造、中医知识初步科普</w:t>
      </w:r>
    </w:p>
    <w:p w14:paraId="0027691B">
      <w:pPr>
        <w:keepNext w:val="0"/>
        <w:keepLines w:val="0"/>
        <w:pageBreakBefore w:val="0"/>
        <w:widowControl w:val="0"/>
        <w:tabs>
          <w:tab w:val="left" w:pos="5088"/>
        </w:tabs>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设计亮点：</w:t>
      </w:r>
      <w:r>
        <w:rPr>
          <w:rFonts w:hint="eastAsia"/>
          <w:sz w:val="32"/>
          <w:szCs w:val="32"/>
          <w:lang w:val="en-US" w:eastAsia="zh-CN"/>
        </w:rPr>
        <w:tab/>
      </w:r>
    </w:p>
    <w:p w14:paraId="0FDBB57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入口设置中式屏风与原木接待台，陈列针灸铜人、仿古药碾、葫芦摆件等中医器具，彰显中医文化底蕴；</w:t>
      </w:r>
    </w:p>
    <w:p w14:paraId="5C982B3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墙面悬挂中医名言字画、经络图谱、四季养生主题海报，搭配柔和灯带，强化空间氛围感；</w:t>
      </w:r>
    </w:p>
    <w:p w14:paraId="11B89FC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设置导视标识牌，清晰标注各功能区域方位，并配备休息座椅，供访客等候使用；</w:t>
      </w:r>
    </w:p>
    <w:p w14:paraId="6119A73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摆放中医古籍与养生类书籍，供访客随手翻阅，营造兼具书香气息与康养属性的空间氛围。</w:t>
      </w:r>
    </w:p>
    <w:p w14:paraId="183C7B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sz w:val="32"/>
          <w:szCs w:val="32"/>
        </w:rPr>
      </w:pPr>
      <w:r>
        <w:rPr>
          <w:rFonts w:hint="eastAsia"/>
          <w:sz w:val="32"/>
          <w:szCs w:val="32"/>
          <w:lang w:val="en-US" w:eastAsia="zh-CN"/>
        </w:rPr>
        <w:t>2、</w:t>
      </w:r>
      <w:r>
        <w:rPr>
          <w:sz w:val="32"/>
          <w:szCs w:val="32"/>
        </w:rPr>
        <w:t xml:space="preserve">本草科普区  核心功能：药材认知、科普教学、互动辨识 设计亮点： 打造透明药材展示墙，分类陈列常用中药材（枸杞、当归、黄芪、艾草、陈皮等），标注名称、功效、产地、用法 设置闻香辨材区，摆放密封香薰瓶，内含艾草、檀香、藿香、薄荷等药材香气，开展趣味辨识活动 配备触控屏幕，播放药材生长、炮制过程视频，讲解中医基础理论（阴阳、五行、经络） 设置小型标本台，展示药用植物标本、种子，适合亲子研学、科普教学 </w:t>
      </w:r>
    </w:p>
    <w:p w14:paraId="7328AC9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eastAsia="zh-CN"/>
        </w:rPr>
        <w:t>中医专家坐诊区</w:t>
      </w:r>
      <w:r>
        <w:rPr>
          <w:sz w:val="32"/>
          <w:szCs w:val="32"/>
        </w:rPr>
        <w:t xml:space="preserve">  核心功能：</w:t>
      </w:r>
      <w:r>
        <w:rPr>
          <w:rFonts w:hint="eastAsia"/>
          <w:sz w:val="32"/>
          <w:szCs w:val="32"/>
          <w:lang w:eastAsia="zh-CN"/>
        </w:rPr>
        <w:t>治未病健康</w:t>
      </w:r>
      <w:r>
        <w:rPr>
          <w:sz w:val="32"/>
          <w:szCs w:val="32"/>
        </w:rPr>
        <w:t>咨询</w:t>
      </w:r>
    </w:p>
    <w:p w14:paraId="2EB80F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3、</w:t>
      </w:r>
      <w:r>
        <w:rPr>
          <w:sz w:val="32"/>
          <w:szCs w:val="32"/>
        </w:rPr>
        <w:t>中药代茶饮（饮品店）  核心功能：休憩放松、养生茶饮、轻食品尝 设计亮点：原木桌椅，绿植点缀，安静雅致，提供四季养生茶饮（春季养肝茶、夏季解暑茶、秋季润燥茶、冬季温补茶） 售卖养生点心、草本零食，无添加、健康养生 播放舒缓古风音乐，供访客休整、闲聊，缓解理疗疲劳</w:t>
      </w:r>
    </w:p>
    <w:p w14:paraId="55EE659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4、</w:t>
      </w:r>
      <w:r>
        <w:rPr>
          <w:sz w:val="32"/>
          <w:szCs w:val="32"/>
        </w:rPr>
        <w:t>文创周边售卖区 面积： 核心功能：产品销售、伴手礼选购 售卖品类： 养生类：定制养生茶包、草本精油、艾灸条、足浴包、祛湿膏 文创类：中医主题书签、经络图手册、草本香囊、古风养生摆件 器材类：小型按摩器、穴位图、家用艾灸盒、拔罐器具 设计：开放式货架，分类摆放，标价清晰，包装简约国风，提升质感。</w:t>
      </w:r>
    </w:p>
    <w:p w14:paraId="1D0685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sz w:val="32"/>
          <w:szCs w:val="32"/>
        </w:rPr>
      </w:pPr>
      <w:r>
        <w:rPr>
          <w:rFonts w:hint="eastAsia"/>
          <w:sz w:val="32"/>
          <w:szCs w:val="32"/>
          <w:lang w:val="en-US" w:eastAsia="zh-CN"/>
        </w:rPr>
        <w:t>5、</w:t>
      </w:r>
      <w:r>
        <w:rPr>
          <w:sz w:val="32"/>
          <w:szCs w:val="32"/>
        </w:rPr>
        <w:t xml:space="preserve"> 辅助区域 储物间：存放器材、药材、物料，保持空间整洁</w:t>
      </w:r>
    </w:p>
    <w:p w14:paraId="4FE3675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eastAsia="zh-CN"/>
        </w:rPr>
      </w:pPr>
    </w:p>
    <w:p w14:paraId="62D4C6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eastAsia="zh-CN"/>
        </w:rPr>
        <w:t>二、施工材料及报价要求</w:t>
      </w:r>
      <w:r>
        <w:rPr>
          <w:rFonts w:hint="eastAsia"/>
          <w:sz w:val="32"/>
          <w:szCs w:val="32"/>
          <w:lang w:val="en-US" w:eastAsia="zh-CN"/>
        </w:rPr>
        <w:t xml:space="preserve"> </w:t>
      </w:r>
    </w:p>
    <w:p w14:paraId="6CBA146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1.钢化玻璃：优质浮法原片玻璃，经钢化处理，必须获得国家3C强制性认证。</w:t>
      </w:r>
    </w:p>
    <w:p w14:paraId="03D331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公称厚度：≥ 12mm 钢化玻璃（单块面积&gt;3.0㎡）。</w:t>
      </w:r>
    </w:p>
    <w:p w14:paraId="78499ED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钢化度：碎片状态符合GB 15763.3标准，冲击强度为普通玻璃的5倍以上。</w:t>
      </w:r>
    </w:p>
    <w:p w14:paraId="4619F36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表面应力：≥90MPa。</w:t>
      </w:r>
    </w:p>
    <w:p w14:paraId="05EF381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平整度：允许偏差符合GB 50210标准，无明显波纹、气泡、夹渣及裂纹。</w:t>
      </w:r>
    </w:p>
    <w:p w14:paraId="5759CF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外观质量：表面光滑，无划痕、无崩边、无缺角。</w:t>
      </w:r>
    </w:p>
    <w:p w14:paraId="4291CE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2. 铝合金型材：采用6063T5 原生挤压铝型材，严禁使用回收铝。</w:t>
      </w:r>
    </w:p>
    <w:p w14:paraId="77C85E2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壁厚要求：主受力立柱、横梁壁厚：≥2.0mm。 次龙骨及边框壁厚：≥1.5mm。</w:t>
      </w:r>
    </w:p>
    <w:p w14:paraId="5F12482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表面处理：氟碳喷涂（FEVE）。含氟量：≥70%。膜厚：总膜厚 ≥60μm。</w:t>
      </w:r>
    </w:p>
    <w:p w14:paraId="082BF7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颜色要求：参与人结合医院特色自选色系，表面无流挂、露底、明显橘皮。</w:t>
      </w:r>
    </w:p>
    <w:p w14:paraId="7E756B1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3.辅材与密封  结构胶：中性硅酮结构胶，耐候性好，粘结强度≥1.0MPa。</w:t>
      </w:r>
    </w:p>
    <w:p w14:paraId="747A92B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耐候胶：医院专用防霉中性硅酮耐候胶，具备抗老化、防发霉功能。</w:t>
      </w:r>
    </w:p>
    <w:p w14:paraId="5FBAAA0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玻璃垫块：采用 EPDM橡胶垫块，长度≥100mm，厚度≥5mm，严禁玻璃与金属直接接触。</w:t>
      </w:r>
    </w:p>
    <w:p w14:paraId="0259D4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4.五金配件：所有连接件、固定件采用 304不锈钢 材质。承载力满足设计要求，防腐防锈，安装牢固无松动。采用 EPDM 橡胶条，具有优异弹性和耐老化性。</w:t>
      </w:r>
    </w:p>
    <w:p w14:paraId="6BF432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r>
        <w:rPr>
          <w:rFonts w:hint="eastAsia"/>
          <w:sz w:val="32"/>
          <w:szCs w:val="32"/>
          <w:lang w:val="en-US" w:eastAsia="zh-CN"/>
        </w:rPr>
        <w:t xml:space="preserve"> 5. 玻璃入框前，须在型材内垫设EPDM橡胶垫块，避免应力集中；玻璃入框后，及时注入耐候胶，胶缝饱满、均匀、顺直，无空隙。</w:t>
      </w:r>
    </w:p>
    <w:p w14:paraId="29C721B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sz w:val="32"/>
          <w:szCs w:val="32"/>
          <w:lang w:val="en-US" w:eastAsia="zh-CN"/>
        </w:rPr>
      </w:pPr>
      <w:r>
        <w:rPr>
          <w:rFonts w:hint="eastAsia"/>
          <w:sz w:val="32"/>
          <w:szCs w:val="32"/>
          <w:lang w:val="en-US" w:eastAsia="zh-CN"/>
        </w:rPr>
        <w:t xml:space="preserve"> 6.参与人需列出报价清单：分项为钢化玻璃、铝合金龙骨、表面处理、辅材与密封、五金配件、安装费、其它及税费。</w:t>
      </w:r>
    </w:p>
    <w:p w14:paraId="01F4D2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sz w:val="32"/>
          <w:szCs w:val="32"/>
          <w:lang w:val="en-US" w:eastAsia="zh-CN"/>
        </w:rPr>
      </w:pPr>
    </w:p>
    <w:p w14:paraId="463093D7">
      <w:pPr>
        <w:keepNext w:val="0"/>
        <w:keepLines w:val="0"/>
        <w:pageBreakBefore w:val="0"/>
        <w:widowControl w:val="0"/>
        <w:kinsoku/>
        <w:wordWrap/>
        <w:overflowPunct/>
        <w:topLinePunct w:val="0"/>
        <w:autoSpaceDE/>
        <w:autoSpaceDN/>
        <w:bidi w:val="0"/>
        <w:adjustRightInd/>
        <w:snapToGrid/>
        <w:spacing w:line="580" w:lineRule="exact"/>
        <w:ind w:firstLine="4160" w:firstLineChars="1300"/>
        <w:textAlignment w:val="auto"/>
        <w:rPr>
          <w:rFonts w:hint="eastAsia"/>
          <w:sz w:val="32"/>
          <w:szCs w:val="32"/>
          <w:lang w:val="en-US" w:eastAsia="zh-CN"/>
        </w:rPr>
      </w:pPr>
    </w:p>
    <w:p w14:paraId="70C3B93F">
      <w:pPr>
        <w:keepNext w:val="0"/>
        <w:keepLines w:val="0"/>
        <w:pageBreakBefore w:val="0"/>
        <w:widowControl w:val="0"/>
        <w:kinsoku/>
        <w:wordWrap/>
        <w:overflowPunct/>
        <w:topLinePunct w:val="0"/>
        <w:autoSpaceDE/>
        <w:autoSpaceDN/>
        <w:bidi w:val="0"/>
        <w:adjustRightInd/>
        <w:snapToGrid/>
        <w:spacing w:line="580" w:lineRule="exact"/>
        <w:ind w:firstLine="4160" w:firstLineChars="1300"/>
        <w:textAlignment w:val="auto"/>
        <w:rPr>
          <w:rFonts w:hint="eastAsia"/>
          <w:sz w:val="32"/>
          <w:szCs w:val="32"/>
          <w:lang w:val="en-US" w:eastAsia="zh-CN"/>
        </w:rPr>
      </w:pPr>
    </w:p>
    <w:p w14:paraId="3B94479A">
      <w:pPr>
        <w:keepNext w:val="0"/>
        <w:keepLines w:val="0"/>
        <w:pageBreakBefore w:val="0"/>
        <w:widowControl w:val="0"/>
        <w:kinsoku/>
        <w:wordWrap/>
        <w:overflowPunct/>
        <w:topLinePunct w:val="0"/>
        <w:autoSpaceDE/>
        <w:autoSpaceDN/>
        <w:bidi w:val="0"/>
        <w:adjustRightInd/>
        <w:snapToGrid/>
        <w:spacing w:line="580" w:lineRule="exact"/>
        <w:ind w:firstLine="4160" w:firstLineChars="1300"/>
        <w:textAlignment w:val="auto"/>
        <w:rPr>
          <w:rFonts w:hint="eastAsia"/>
          <w:sz w:val="32"/>
          <w:szCs w:val="32"/>
          <w:lang w:val="en-US" w:eastAsia="zh-CN"/>
        </w:rPr>
      </w:pPr>
    </w:p>
    <w:p w14:paraId="315F2461">
      <w:pPr>
        <w:keepNext w:val="0"/>
        <w:keepLines w:val="0"/>
        <w:pageBreakBefore w:val="0"/>
        <w:widowControl w:val="0"/>
        <w:kinsoku/>
        <w:wordWrap/>
        <w:overflowPunct/>
        <w:topLinePunct w:val="0"/>
        <w:autoSpaceDE/>
        <w:autoSpaceDN/>
        <w:bidi w:val="0"/>
        <w:adjustRightInd/>
        <w:snapToGrid/>
        <w:spacing w:line="580" w:lineRule="exact"/>
        <w:ind w:firstLine="4160" w:firstLineChars="1300"/>
        <w:textAlignment w:val="auto"/>
        <w:rPr>
          <w:rFonts w:hint="eastAsia"/>
          <w:sz w:val="32"/>
          <w:szCs w:val="32"/>
          <w:lang w:val="en-US" w:eastAsia="zh-CN"/>
        </w:rPr>
      </w:pPr>
    </w:p>
    <w:p w14:paraId="25474DDE">
      <w:pPr>
        <w:keepNext w:val="0"/>
        <w:keepLines w:val="0"/>
        <w:pageBreakBefore w:val="0"/>
        <w:widowControl w:val="0"/>
        <w:kinsoku/>
        <w:wordWrap/>
        <w:overflowPunct/>
        <w:topLinePunct w:val="0"/>
        <w:autoSpaceDE/>
        <w:autoSpaceDN/>
        <w:bidi w:val="0"/>
        <w:adjustRightInd/>
        <w:snapToGrid/>
        <w:spacing w:line="580" w:lineRule="exact"/>
        <w:ind w:firstLine="4160" w:firstLineChars="1300"/>
        <w:textAlignment w:val="auto"/>
        <w:rPr>
          <w:rFonts w:hint="eastAsia"/>
          <w:sz w:val="32"/>
          <w:szCs w:val="32"/>
          <w:lang w:val="en-US" w:eastAsia="zh-CN"/>
        </w:rPr>
      </w:pPr>
      <w:r>
        <w:rPr>
          <w:rFonts w:hint="eastAsia"/>
          <w:sz w:val="32"/>
          <w:szCs w:val="32"/>
          <w:lang w:val="en-US" w:eastAsia="zh-CN"/>
        </w:rPr>
        <w:t>菏泽昌源健康服务有限公司</w:t>
      </w:r>
    </w:p>
    <w:p w14:paraId="1EDB64F9">
      <w:pPr>
        <w:keepNext w:val="0"/>
        <w:keepLines w:val="0"/>
        <w:pageBreakBefore w:val="0"/>
        <w:widowControl w:val="0"/>
        <w:kinsoku/>
        <w:wordWrap/>
        <w:overflowPunct/>
        <w:topLinePunct w:val="0"/>
        <w:autoSpaceDE/>
        <w:autoSpaceDN/>
        <w:bidi w:val="0"/>
        <w:adjustRightInd/>
        <w:snapToGrid/>
        <w:spacing w:line="580" w:lineRule="exact"/>
        <w:ind w:firstLine="5120" w:firstLineChars="1600"/>
        <w:textAlignment w:val="auto"/>
        <w:rPr>
          <w:rFonts w:hint="default"/>
          <w:sz w:val="32"/>
          <w:szCs w:val="32"/>
          <w:lang w:val="en-US" w:eastAsia="zh-CN"/>
        </w:rPr>
      </w:pPr>
      <w:r>
        <w:rPr>
          <w:rFonts w:hint="eastAsia"/>
          <w:sz w:val="32"/>
          <w:szCs w:val="32"/>
          <w:lang w:val="en-US" w:eastAsia="zh-CN"/>
        </w:rPr>
        <w:t>2026.3.28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5503E8"/>
    <w:rsid w:val="00F65D4D"/>
    <w:rsid w:val="01190AF2"/>
    <w:rsid w:val="122214CC"/>
    <w:rsid w:val="3F5503E8"/>
    <w:rsid w:val="44190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1504</Words>
  <Characters>1589</Characters>
  <Lines>0</Lines>
  <Paragraphs>0</Paragraphs>
  <TotalTime>153</TotalTime>
  <ScaleCrop>false</ScaleCrop>
  <LinksUpToDate>false</LinksUpToDate>
  <CharactersWithSpaces>1648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2026-03-28T00:54:00Z</dcterms:created>
  <dc:creator>en</dc:creator>
  <cp:lastModifiedBy>en</cp:lastModifiedBy>
  <dcterms:modified xsi:type="dcterms:W3CDTF">2026-03-28T08:28:48Z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0279928981344342A862FBE52920337A_13</vt:lpwstr>
  </property>
  <property fmtid="{D5CDD505-2E9C-101B-9397-08002B2CF9AE}" pid="4" name="KSOTemplateDocerSaveRecord">
    <vt:lpwstr>eyJoZGlkIjoiNzE1OGZlNmM5NTRlMDIwZTA1MGIxYzgyODUyMzY1OTEiLCJ1c2VySWQiOiIzNDY0MDI3MTYifQ==</vt:lpwstr>
  </property>
</Properties>
</file>